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eastAsia="黑体"/>
          <w:szCs w:val="30"/>
        </w:rPr>
      </w:pPr>
      <w:r>
        <w:rPr>
          <w:rFonts w:ascii="Times New Roman" w:hAnsi="黑体" w:eastAsia="黑体"/>
          <w:szCs w:val="30"/>
        </w:rPr>
        <w:t>附件</w:t>
      </w:r>
      <w:r>
        <w:rPr>
          <w:rFonts w:ascii="Times New Roman" w:hAnsi="Times New Roman" w:eastAsia="黑体"/>
          <w:szCs w:val="30"/>
        </w:rPr>
        <w:t>1</w:t>
      </w:r>
    </w:p>
    <w:p>
      <w:pPr>
        <w:spacing w:line="600" w:lineRule="exact"/>
        <w:jc w:val="center"/>
        <w:rPr>
          <w:rFonts w:hint="eastAsia" w:ascii="方正小标宋简体" w:hAnsi="黑体" w:eastAsia="方正小标宋简体"/>
          <w:sz w:val="40"/>
          <w:szCs w:val="40"/>
        </w:rPr>
      </w:pPr>
      <w:r>
        <w:rPr>
          <w:rFonts w:hint="eastAsia" w:ascii="方正小标宋简体" w:hAnsi="黑体" w:eastAsia="方正小标宋简体"/>
          <w:sz w:val="40"/>
          <w:szCs w:val="40"/>
        </w:rPr>
        <w:t>2019年湖北省省级高技能人才培训基地建设</w:t>
      </w:r>
    </w:p>
    <w:p>
      <w:pPr>
        <w:spacing w:after="292" w:afterLines="50" w:line="600" w:lineRule="exact"/>
        <w:jc w:val="center"/>
        <w:rPr>
          <w:rFonts w:hint="eastAsia" w:ascii="方正小标宋简体" w:hAnsi="黑体" w:eastAsia="方正小标宋简体"/>
          <w:sz w:val="40"/>
          <w:szCs w:val="40"/>
        </w:rPr>
      </w:pPr>
      <w:r>
        <w:rPr>
          <w:rFonts w:hint="eastAsia" w:ascii="方正小标宋简体" w:hAnsi="黑体" w:eastAsia="方正小标宋简体"/>
          <w:sz w:val="40"/>
          <w:szCs w:val="40"/>
        </w:rPr>
        <w:t>项目单位名单</w:t>
      </w:r>
    </w:p>
    <w:tbl>
      <w:tblPr>
        <w:tblStyle w:val="4"/>
        <w:tblW w:w="8505" w:type="dxa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7485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20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>序号</w:t>
            </w:r>
          </w:p>
        </w:tc>
        <w:tc>
          <w:tcPr>
            <w:tcW w:w="7485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>单</w:t>
            </w:r>
            <w:r>
              <w:rPr>
                <w:rFonts w:hint="eastAsia" w:ascii="黑体" w:hAnsi="黑体" w:eastAsia="黑体"/>
                <w:bCs/>
                <w:sz w:val="24"/>
              </w:rPr>
              <w:t xml:space="preserve">    </w:t>
            </w:r>
            <w:r>
              <w:rPr>
                <w:rFonts w:ascii="黑体" w:hAnsi="黑体" w:eastAsia="黑体"/>
                <w:bCs/>
                <w:sz w:val="24"/>
              </w:rPr>
              <w:t>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20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485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黄冈第二高级技工学校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20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7485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湖北东风汽车技师学院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20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7485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恩施职业技术学院（恩施州交通高级技工学校）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20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7485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湖北新产业技师学院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20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7485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湖北三峡技师学院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20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7485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湖北省工业自动化技师学院（石首高级技工学校）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20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7485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武汉铁路桥梁高级技工学校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20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7485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湖北生态工程职业技术学院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20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7485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武汉电力职业技术学院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020" w:type="dxa"/>
            <w:tcMar>
              <w:left w:w="11" w:type="dxa"/>
              <w:right w:w="11" w:type="dxa"/>
            </w:tcMar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7485" w:type="dxa"/>
            <w:tcMar>
              <w:left w:w="11" w:type="dxa"/>
              <w:right w:w="11" w:type="dxa"/>
            </w:tcMar>
            <w:vAlign w:val="center"/>
          </w:tcPr>
          <w:p>
            <w:pPr>
              <w:widowControl/>
              <w:spacing w:line="340" w:lineRule="exact"/>
              <w:jc w:val="center"/>
              <w:textAlignment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lang w:bidi="ar"/>
              </w:rPr>
              <w:t>神龙大学（神龙汽车有限公司培训中心）</w:t>
            </w:r>
          </w:p>
        </w:tc>
      </w:tr>
    </w:tbl>
    <w:p>
      <w:pPr>
        <w:rPr>
          <w:rFonts w:hint="eastAsia"/>
          <w:sz w:val="24"/>
        </w:rPr>
      </w:pPr>
      <w:r>
        <w:rPr>
          <w:rFonts w:hint="eastAsia"/>
          <w:sz w:val="24"/>
        </w:rPr>
        <w:t>备注：排名不分先后</w:t>
      </w:r>
    </w:p>
    <w:p>
      <w:pPr>
        <w:spacing w:line="560" w:lineRule="exact"/>
      </w:pPr>
    </w:p>
    <w:p>
      <w:pPr>
        <w:spacing w:line="560" w:lineRule="exact"/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F93CF3"/>
    <w:rsid w:val="78F93CF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0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2019-12-12T06:28:00Z</dcterms:created>
  <dc:creator>PC</dc:creator>
  <cp:lastModifiedBy>PC</cp:lastModifiedBy>
  <dcterms:modified xsi:type="dcterms:W3CDTF">2019-12-12T06:29:32Z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