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  <w:szCs w:val="30"/>
        </w:rPr>
      </w:pPr>
      <w:r>
        <w:rPr>
          <w:rFonts w:hAnsi="黑体" w:eastAsia="黑体"/>
          <w:szCs w:val="30"/>
        </w:rPr>
        <w:t>附件</w:t>
      </w:r>
      <w:r>
        <w:rPr>
          <w:rFonts w:eastAsia="黑体"/>
          <w:szCs w:val="30"/>
        </w:rPr>
        <w:t>1</w:t>
      </w:r>
    </w:p>
    <w:p>
      <w:pPr>
        <w:spacing w:line="600" w:lineRule="exact"/>
        <w:jc w:val="center"/>
        <w:rPr>
          <w:rFonts w:hint="eastAsia" w:ascii="方正小标宋简体" w:hAnsi="黑体" w:eastAsia="方正小标宋简体" w:cs="黑体"/>
          <w:sz w:val="40"/>
          <w:szCs w:val="40"/>
        </w:rPr>
      </w:pPr>
      <w:r>
        <w:rPr>
          <w:rFonts w:hint="eastAsia" w:ascii="方正小标宋简体" w:hAnsi="黑体" w:eastAsia="方正小标宋简体" w:cs="黑体"/>
          <w:sz w:val="40"/>
          <w:szCs w:val="40"/>
        </w:rPr>
        <w:t>湖北省技能强省战略工程示范县考评表</w:t>
      </w:r>
    </w:p>
    <w:p>
      <w:pPr>
        <w:spacing w:line="320" w:lineRule="exact"/>
        <w:rPr>
          <w:rFonts w:hint="eastAsia" w:ascii="仿宋_GB2312" w:hAnsi="仿宋" w:cs="仿宋"/>
          <w:sz w:val="21"/>
          <w:szCs w:val="21"/>
        </w:rPr>
      </w:pPr>
      <w:r>
        <w:rPr>
          <w:rFonts w:hint="eastAsia" w:ascii="仿宋_GB2312" w:hAnsi="仿宋" w:cs="仿宋"/>
          <w:sz w:val="21"/>
          <w:szCs w:val="21"/>
        </w:rPr>
        <w:t>申报单位：</w:t>
      </w:r>
    </w:p>
    <w:tbl>
      <w:tblPr>
        <w:tblStyle w:val="7"/>
        <w:tblW w:w="140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590"/>
        <w:gridCol w:w="1428"/>
        <w:gridCol w:w="2688"/>
        <w:gridCol w:w="11"/>
        <w:gridCol w:w="809"/>
        <w:gridCol w:w="6864"/>
        <w:gridCol w:w="809"/>
        <w:gridCol w:w="80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46" w:hRule="atLeast"/>
          <w:tblHeader/>
          <w:jc w:val="center"/>
        </w:trPr>
        <w:tc>
          <w:tcPr>
            <w:tcW w:w="590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sz w:val="21"/>
                <w:szCs w:val="21"/>
              </w:rPr>
              <w:t>序号</w:t>
            </w:r>
          </w:p>
        </w:tc>
        <w:tc>
          <w:tcPr>
            <w:tcW w:w="1428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sz w:val="21"/>
                <w:szCs w:val="21"/>
              </w:rPr>
              <w:t>类</w:t>
            </w: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 xml:space="preserve">  </w:t>
            </w:r>
            <w:r>
              <w:rPr>
                <w:rFonts w:ascii="黑体" w:hAnsi="黑体" w:eastAsia="黑体"/>
                <w:bCs/>
                <w:sz w:val="21"/>
                <w:szCs w:val="21"/>
              </w:rPr>
              <w:t>别</w:t>
            </w:r>
          </w:p>
        </w:tc>
        <w:tc>
          <w:tcPr>
            <w:tcW w:w="269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sz w:val="21"/>
                <w:szCs w:val="21"/>
              </w:rPr>
              <w:t>考</w:t>
            </w: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/>
                <w:bCs/>
                <w:sz w:val="21"/>
                <w:szCs w:val="21"/>
              </w:rPr>
              <w:t>评</w:t>
            </w: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/>
                <w:bCs/>
                <w:sz w:val="21"/>
                <w:szCs w:val="21"/>
              </w:rPr>
              <w:t>内</w:t>
            </w: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/>
                <w:bCs/>
                <w:sz w:val="21"/>
                <w:szCs w:val="21"/>
              </w:rPr>
              <w:t>容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sz w:val="21"/>
                <w:szCs w:val="21"/>
              </w:rPr>
              <w:t>分值</w:t>
            </w:r>
          </w:p>
        </w:tc>
        <w:tc>
          <w:tcPr>
            <w:tcW w:w="6864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sz w:val="21"/>
                <w:szCs w:val="21"/>
              </w:rPr>
              <w:t>计</w:t>
            </w: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 xml:space="preserve">  </w:t>
            </w:r>
            <w:r>
              <w:rPr>
                <w:rFonts w:ascii="黑体" w:hAnsi="黑体" w:eastAsia="黑体"/>
                <w:bCs/>
                <w:sz w:val="21"/>
                <w:szCs w:val="21"/>
              </w:rPr>
              <w:t>分</w:t>
            </w: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 xml:space="preserve">  </w:t>
            </w:r>
            <w:r>
              <w:rPr>
                <w:rFonts w:ascii="黑体" w:hAnsi="黑体" w:eastAsia="黑体"/>
                <w:bCs/>
                <w:sz w:val="21"/>
                <w:szCs w:val="21"/>
              </w:rPr>
              <w:t>办</w:t>
            </w: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 xml:space="preserve">  </w:t>
            </w:r>
            <w:r>
              <w:rPr>
                <w:rFonts w:ascii="黑体" w:hAnsi="黑体" w:eastAsia="黑体"/>
                <w:bCs/>
                <w:sz w:val="21"/>
                <w:szCs w:val="21"/>
              </w:rPr>
              <w:t>法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sz w:val="21"/>
                <w:szCs w:val="21"/>
              </w:rPr>
              <w:t>评分</w:t>
            </w:r>
          </w:p>
        </w:tc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jc w:val="center"/>
        </w:trPr>
        <w:tc>
          <w:tcPr>
            <w:tcW w:w="59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428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组织领导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（10分）</w:t>
            </w:r>
          </w:p>
        </w:tc>
        <w:tc>
          <w:tcPr>
            <w:tcW w:w="269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研究部署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6864" w:type="dxa"/>
            <w:vAlign w:val="center"/>
          </w:tcPr>
          <w:p>
            <w:p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县（市、区）党委政府高度重视技能人才建设，认真贯彻上级要求，对推进技能强省</w:t>
            </w:r>
            <w:r>
              <w:rPr>
                <w:rFonts w:hint="eastAsia"/>
                <w:sz w:val="21"/>
                <w:szCs w:val="21"/>
              </w:rPr>
              <w:t>战略工程</w:t>
            </w:r>
            <w:r>
              <w:rPr>
                <w:sz w:val="21"/>
                <w:szCs w:val="21"/>
              </w:rPr>
              <w:t>示范县有研究、有部署。全年召开1次以上示范县部署会的得5分，否则不得分。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jc w:val="center"/>
        </w:trPr>
        <w:tc>
          <w:tcPr>
            <w:tcW w:w="59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28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69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出台创建方案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6864" w:type="dxa"/>
            <w:vAlign w:val="center"/>
          </w:tcPr>
          <w:p>
            <w:p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出台示范县实施方案得5分。明确部门职责，年初有计划安排，有总结，但未出台方案扣3分。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jc w:val="center"/>
        </w:trPr>
        <w:tc>
          <w:tcPr>
            <w:tcW w:w="59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428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职业技能培训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bookmarkStart w:id="0" w:name="OLE_LINK3"/>
            <w:r>
              <w:rPr>
                <w:sz w:val="21"/>
                <w:szCs w:val="21"/>
              </w:rPr>
              <w:t>（10分）</w:t>
            </w:r>
            <w:bookmarkEnd w:id="0"/>
          </w:p>
        </w:tc>
        <w:tc>
          <w:tcPr>
            <w:tcW w:w="269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技能培训开展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6864" w:type="dxa"/>
            <w:vAlign w:val="center"/>
          </w:tcPr>
          <w:p>
            <w:p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1、面向各类群体开展培训的方法多、成效好计2分；</w:t>
            </w:r>
          </w:p>
          <w:p>
            <w:p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2、培训成效相比往年增加明显或者在所在市内成效靠前计1名；</w:t>
            </w:r>
          </w:p>
          <w:p>
            <w:p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3、培训补助资金落实到位及时计2分。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jc w:val="center"/>
        </w:trPr>
        <w:tc>
          <w:tcPr>
            <w:tcW w:w="59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28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69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产教融合工作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6864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校企合作开展效果好计2分；</w:t>
            </w:r>
          </w:p>
          <w:p>
            <w:pPr>
              <w:numPr>
                <w:ilvl w:val="0"/>
                <w:numId w:val="1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至少组织2家企业开展新型学徒制培训100人以上计2分；</w:t>
            </w:r>
          </w:p>
          <w:p>
            <w:pPr>
              <w:numPr>
                <w:ilvl w:val="0"/>
                <w:numId w:val="1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有发改委产教融合项目计1分。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jc w:val="center"/>
        </w:trPr>
        <w:tc>
          <w:tcPr>
            <w:tcW w:w="59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428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技能竞赛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（15分）</w:t>
            </w:r>
          </w:p>
        </w:tc>
        <w:tc>
          <w:tcPr>
            <w:tcW w:w="269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组织开展技能竞赛活动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6864" w:type="dxa"/>
            <w:vAlign w:val="center"/>
          </w:tcPr>
          <w:p>
            <w:pPr>
              <w:numPr>
                <w:ilvl w:val="0"/>
                <w:numId w:val="2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参加省、市部门组织的技能竞赛活动积极（参赛项目数、人次）计3分；</w:t>
            </w:r>
          </w:p>
          <w:p>
            <w:pPr>
              <w:numPr>
                <w:ilvl w:val="0"/>
                <w:numId w:val="2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在省市技能竞赛中获奖的人次计3分；</w:t>
            </w:r>
          </w:p>
          <w:p>
            <w:p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3、组织开展技能竞赛活动丰富计4分。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jc w:val="center"/>
        </w:trPr>
        <w:tc>
          <w:tcPr>
            <w:tcW w:w="59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28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69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积极开展人社部门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牵头的竞赛活动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6864" w:type="dxa"/>
            <w:vAlign w:val="center"/>
          </w:tcPr>
          <w:p>
            <w:pPr>
              <w:numPr>
                <w:ilvl w:val="0"/>
                <w:numId w:val="3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积极开展人社部门牵头的技能竞赛活动（种类和场次）计3分；</w:t>
            </w:r>
          </w:p>
          <w:p>
            <w:pPr>
              <w:numPr>
                <w:ilvl w:val="0"/>
                <w:numId w:val="3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企业积极开展岗位练兵和技术比武活动计2分。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jc w:val="center"/>
        </w:trPr>
        <w:tc>
          <w:tcPr>
            <w:tcW w:w="59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bookmarkStart w:id="1" w:name="OLE_LINK7"/>
            <w:r>
              <w:rPr>
                <w:sz w:val="21"/>
                <w:szCs w:val="21"/>
              </w:rPr>
              <w:t>4</w:t>
            </w:r>
          </w:p>
        </w:tc>
        <w:tc>
          <w:tcPr>
            <w:tcW w:w="1428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技能扶贫工作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bookmarkStart w:id="2" w:name="OLE_LINK6"/>
            <w:r>
              <w:rPr>
                <w:sz w:val="21"/>
                <w:szCs w:val="21"/>
              </w:rPr>
              <w:t>（10分）</w:t>
            </w:r>
            <w:bookmarkEnd w:id="2"/>
          </w:p>
        </w:tc>
        <w:tc>
          <w:tcPr>
            <w:tcW w:w="2688" w:type="dxa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摸清</w:t>
            </w:r>
            <w:bookmarkStart w:id="3" w:name="OLE_LINK4"/>
            <w:r>
              <w:rPr>
                <w:sz w:val="21"/>
                <w:szCs w:val="21"/>
              </w:rPr>
              <w:t>贫困家庭“两后生”</w:t>
            </w:r>
            <w:bookmarkEnd w:id="3"/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人员底数</w:t>
            </w:r>
          </w:p>
        </w:tc>
        <w:tc>
          <w:tcPr>
            <w:tcW w:w="8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6864" w:type="dxa"/>
            <w:vAlign w:val="center"/>
          </w:tcPr>
          <w:p>
            <w:pPr>
              <w:numPr>
                <w:ilvl w:val="0"/>
                <w:numId w:val="4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贫困家庭“两后生”建档造册完整计2分；</w:t>
            </w:r>
          </w:p>
          <w:p>
            <w:pPr>
              <w:numPr>
                <w:ilvl w:val="0"/>
                <w:numId w:val="4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确保有培训意愿的贫困家庭“两后生”应培尽培、培训率100%计3分。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jc w:val="center"/>
        </w:trPr>
        <w:tc>
          <w:tcPr>
            <w:tcW w:w="59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28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sz w:val="21"/>
                <w:szCs w:val="21"/>
              </w:rPr>
            </w:pPr>
            <w:bookmarkStart w:id="4" w:name="OLE_LINK5"/>
            <w:r>
              <w:rPr>
                <w:sz w:val="21"/>
                <w:szCs w:val="21"/>
              </w:rPr>
              <w:t>技工院校与贫困家庭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“两后生”衔接</w:t>
            </w:r>
            <w:bookmarkEnd w:id="4"/>
            <w:r>
              <w:rPr>
                <w:sz w:val="21"/>
                <w:szCs w:val="21"/>
              </w:rPr>
              <w:t>情况</w:t>
            </w:r>
          </w:p>
        </w:tc>
        <w:tc>
          <w:tcPr>
            <w:tcW w:w="8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6864" w:type="dxa"/>
            <w:vAlign w:val="center"/>
          </w:tcPr>
          <w:p>
            <w:pPr>
              <w:numPr>
                <w:ilvl w:val="0"/>
                <w:numId w:val="5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技工院校与贫困家庭“两后生”衔接紧密计2分；</w:t>
            </w:r>
          </w:p>
          <w:p>
            <w:pPr>
              <w:numPr>
                <w:ilvl w:val="0"/>
                <w:numId w:val="5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技能培训具有很强针对性和有效性，培训质量好计3分。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58" w:hRule="atLeast"/>
          <w:jc w:val="center"/>
        </w:trPr>
        <w:tc>
          <w:tcPr>
            <w:tcW w:w="59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428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技能人才奖励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（10分）</w:t>
            </w:r>
          </w:p>
        </w:tc>
        <w:tc>
          <w:tcPr>
            <w:tcW w:w="2688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技能人才待遇政策落实情况</w:t>
            </w:r>
          </w:p>
        </w:tc>
        <w:tc>
          <w:tcPr>
            <w:tcW w:w="8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6864" w:type="dxa"/>
            <w:vAlign w:val="center"/>
          </w:tcPr>
          <w:p>
            <w:p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落实提高技能人才待遇政策好计5分，有职工反映的技能人才政策待遇落实不到位的情况，核实确认后扣3分。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jc w:val="center"/>
        </w:trPr>
        <w:tc>
          <w:tcPr>
            <w:tcW w:w="59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28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技能人才选拔奖励活动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开展情况</w:t>
            </w:r>
          </w:p>
        </w:tc>
        <w:tc>
          <w:tcPr>
            <w:tcW w:w="8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6864" w:type="dxa"/>
            <w:vAlign w:val="center"/>
          </w:tcPr>
          <w:p>
            <w:pPr>
              <w:numPr>
                <w:ilvl w:val="0"/>
                <w:numId w:val="6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积极开展县级技能人才选拔奖励活动，形成品牌计2分；</w:t>
            </w:r>
          </w:p>
          <w:p>
            <w:pPr>
              <w:numPr>
                <w:ilvl w:val="0"/>
                <w:numId w:val="6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积极参加省、市技能人才选拔奖励活动计2分；</w:t>
            </w:r>
          </w:p>
          <w:p>
            <w:pPr>
              <w:numPr>
                <w:ilvl w:val="0"/>
                <w:numId w:val="6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对入围世赛湖北集训队选手予以专项奖励计1分。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jc w:val="center"/>
        </w:trPr>
        <w:tc>
          <w:tcPr>
            <w:tcW w:w="59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428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技能人才项目建设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（15分）</w:t>
            </w:r>
          </w:p>
        </w:tc>
        <w:tc>
          <w:tcPr>
            <w:tcW w:w="2688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技能人才基地建设情况</w:t>
            </w:r>
          </w:p>
        </w:tc>
        <w:tc>
          <w:tcPr>
            <w:tcW w:w="8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6864" w:type="dxa"/>
            <w:vAlign w:val="center"/>
          </w:tcPr>
          <w:p>
            <w:pPr>
              <w:numPr>
                <w:ilvl w:val="0"/>
                <w:numId w:val="7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对省、市级技能人才项目建设由配套资金计5分；</w:t>
            </w:r>
          </w:p>
          <w:p>
            <w:pPr>
              <w:numPr>
                <w:ilvl w:val="0"/>
                <w:numId w:val="7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有省、市级技能人才项目或建成1-2个县级技能人才培训基地、2-3个技能大师工作室，并给予建设资金补助计5分。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16" w:hRule="atLeast"/>
          <w:jc w:val="center"/>
        </w:trPr>
        <w:tc>
          <w:tcPr>
            <w:tcW w:w="59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28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加大技工院校和民办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培训机构建设情况</w:t>
            </w:r>
          </w:p>
        </w:tc>
        <w:tc>
          <w:tcPr>
            <w:tcW w:w="8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6864" w:type="dxa"/>
            <w:vAlign w:val="center"/>
          </w:tcPr>
          <w:p>
            <w:pPr>
              <w:numPr>
                <w:ilvl w:val="0"/>
                <w:numId w:val="8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加大技工院校建设力度，措施多、效果好计3分；</w:t>
            </w:r>
          </w:p>
          <w:p>
            <w:pPr>
              <w:numPr>
                <w:ilvl w:val="0"/>
                <w:numId w:val="8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民办培训机构管理规范，培训效果好计2分。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bookmarkEnd w:id="1"/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jc w:val="center"/>
        </w:trPr>
        <w:tc>
          <w:tcPr>
            <w:tcW w:w="59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1428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探索创新发展（15分）</w:t>
            </w:r>
          </w:p>
        </w:tc>
        <w:tc>
          <w:tcPr>
            <w:tcW w:w="2688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体制机制方面创新情况</w:t>
            </w:r>
          </w:p>
        </w:tc>
        <w:tc>
          <w:tcPr>
            <w:tcW w:w="8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6864" w:type="dxa"/>
            <w:vAlign w:val="center"/>
          </w:tcPr>
          <w:p>
            <w:pPr>
              <w:numPr>
                <w:ilvl w:val="0"/>
                <w:numId w:val="9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在技能人才培养、使用、评价、激励等方面形成系统性的做法，并在体制机制上有创新计3分；</w:t>
            </w:r>
          </w:p>
          <w:p>
            <w:pPr>
              <w:numPr>
                <w:ilvl w:val="0"/>
                <w:numId w:val="9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企业和上级部门反响和评议较好计2分。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jc w:val="center"/>
        </w:trPr>
        <w:tc>
          <w:tcPr>
            <w:tcW w:w="59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28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形成典型经验推广情况</w:t>
            </w:r>
          </w:p>
        </w:tc>
        <w:tc>
          <w:tcPr>
            <w:tcW w:w="8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6864" w:type="dxa"/>
            <w:vAlign w:val="center"/>
          </w:tcPr>
          <w:p>
            <w:pPr>
              <w:numPr>
                <w:ilvl w:val="0"/>
                <w:numId w:val="10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积极组织技能人才参加国家和省市交流计2分；</w:t>
            </w:r>
          </w:p>
          <w:p>
            <w:pPr>
              <w:numPr>
                <w:ilvl w:val="0"/>
                <w:numId w:val="10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引进高技能人才、建立工作室并落实建设补助资金计1分；</w:t>
            </w:r>
          </w:p>
          <w:p>
            <w:pPr>
              <w:numPr>
                <w:ilvl w:val="0"/>
                <w:numId w:val="10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形成典型经验参加省、市层面经验交流计2分。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92" w:hRule="atLeast"/>
          <w:jc w:val="center"/>
        </w:trPr>
        <w:tc>
          <w:tcPr>
            <w:tcW w:w="59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28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鼓励技术革新情况</w:t>
            </w:r>
          </w:p>
        </w:tc>
        <w:tc>
          <w:tcPr>
            <w:tcW w:w="8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6864" w:type="dxa"/>
            <w:vAlign w:val="center"/>
          </w:tcPr>
          <w:p>
            <w:p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鼓励技能人才技术革新有做法计3分，产生实在的效果计2分。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15" w:hRule="atLeast"/>
          <w:jc w:val="center"/>
        </w:trPr>
        <w:tc>
          <w:tcPr>
            <w:tcW w:w="590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428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技能宣传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（5分）</w:t>
            </w:r>
          </w:p>
        </w:tc>
        <w:tc>
          <w:tcPr>
            <w:tcW w:w="2688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工匠精神宣传情况</w:t>
            </w:r>
          </w:p>
        </w:tc>
        <w:tc>
          <w:tcPr>
            <w:tcW w:w="8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6864" w:type="dxa"/>
            <w:vAlign w:val="center"/>
          </w:tcPr>
          <w:p>
            <w:p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1、充分利用媒体资源，大力开展宣传，宣传数量多，宣传质量高计3分；</w:t>
            </w:r>
          </w:p>
          <w:p>
            <w:p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2、在省部级以上媒介上进行宣传计2分。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72" w:hRule="atLeast"/>
          <w:jc w:val="center"/>
        </w:trPr>
        <w:tc>
          <w:tcPr>
            <w:tcW w:w="590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1428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加大资金保障（10分）</w:t>
            </w:r>
          </w:p>
        </w:tc>
        <w:tc>
          <w:tcPr>
            <w:tcW w:w="2688" w:type="dxa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技能强省示范县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创建工作资金保障情况</w:t>
            </w:r>
          </w:p>
        </w:tc>
        <w:tc>
          <w:tcPr>
            <w:tcW w:w="8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</w:t>
            </w:r>
          </w:p>
        </w:tc>
        <w:tc>
          <w:tcPr>
            <w:tcW w:w="6864" w:type="dxa"/>
            <w:vAlign w:val="center"/>
          </w:tcPr>
          <w:p>
            <w:pPr>
              <w:numPr>
                <w:ilvl w:val="0"/>
                <w:numId w:val="11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技能强省</w:t>
            </w:r>
            <w:r>
              <w:rPr>
                <w:rFonts w:hint="eastAsia"/>
                <w:sz w:val="21"/>
                <w:szCs w:val="21"/>
              </w:rPr>
              <w:t>战略工程</w:t>
            </w:r>
            <w:r>
              <w:rPr>
                <w:sz w:val="21"/>
                <w:szCs w:val="21"/>
              </w:rPr>
              <w:t>示范县创建工作资金纳入年度预算计3分；</w:t>
            </w:r>
          </w:p>
          <w:p>
            <w:pPr>
              <w:numPr>
                <w:ilvl w:val="0"/>
                <w:numId w:val="11"/>
              </w:num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就业专项资金用于职业培训的资金占比20%以上且逐年增加计2分。</w:t>
            </w:r>
          </w:p>
        </w:tc>
        <w:tc>
          <w:tcPr>
            <w:tcW w:w="8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</w:tbl>
    <w:p>
      <w:pPr>
        <w:rPr>
          <w:szCs w:val="3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6838" w:h="11906" w:orient="landscape"/>
          <w:pgMar w:top="1701" w:right="1418" w:bottom="1701" w:left="1418" w:header="851" w:footer="1418" w:gutter="0"/>
          <w:cols w:space="720" w:num="1"/>
          <w:docGrid w:type="linesAndChars" w:linePitch="584" w:charSpace="760"/>
        </w:sectPr>
      </w:pPr>
    </w:p>
    <w:p>
      <w:pPr>
        <w:rPr>
          <w:rFonts w:eastAsia="黑体"/>
        </w:rPr>
      </w:pPr>
      <w:r>
        <w:rPr>
          <w:rFonts w:hAnsi="黑体" w:eastAsia="黑体"/>
        </w:rPr>
        <w:t>附件</w:t>
      </w:r>
      <w:r>
        <w:rPr>
          <w:rFonts w:eastAsia="黑体"/>
        </w:rPr>
        <w:t>2</w:t>
      </w:r>
    </w:p>
    <w:p>
      <w:pPr>
        <w:spacing w:after="292" w:afterLines="50" w:line="600" w:lineRule="exact"/>
        <w:jc w:val="center"/>
        <w:rPr>
          <w:rFonts w:hint="eastAsia" w:ascii="方正小标宋简体" w:hAnsi="黑体" w:eastAsia="方正小标宋简体" w:cs="黑体"/>
          <w:sz w:val="40"/>
          <w:szCs w:val="40"/>
        </w:rPr>
      </w:pPr>
      <w:r>
        <w:rPr>
          <w:rFonts w:hint="eastAsia" w:ascii="方正小标宋简体" w:hAnsi="黑体" w:eastAsia="方正小标宋简体" w:cs="黑体"/>
          <w:sz w:val="40"/>
          <w:szCs w:val="40"/>
        </w:rPr>
        <w:t>湖北省技能强省战略工程示范县申报表</w:t>
      </w:r>
    </w:p>
    <w:p>
      <w:pPr>
        <w:spacing w:line="400" w:lineRule="exact"/>
        <w:rPr>
          <w:rFonts w:hint="eastAsia" w:ascii="仿宋_GB2312" w:hAnsi="仿宋" w:cs="仿宋"/>
          <w:sz w:val="24"/>
        </w:rPr>
      </w:pPr>
      <w:r>
        <w:rPr>
          <w:rFonts w:hint="eastAsia" w:ascii="仿宋_GB2312" w:hAnsi="仿宋" w:cs="仿宋"/>
          <w:sz w:val="24"/>
        </w:rPr>
        <w:t>申报县（市、区）：</w:t>
      </w:r>
    </w:p>
    <w:tbl>
      <w:tblPr>
        <w:tblStyle w:val="7"/>
        <w:tblW w:w="8512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1824"/>
        <w:gridCol w:w="2128"/>
        <w:gridCol w:w="2903"/>
        <w:gridCol w:w="1650"/>
        <w:gridCol w:w="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gridAfter w:val="1"/>
          <w:wAfter w:w="7" w:type="dxa"/>
          <w:trHeight w:val="680" w:hRule="exact"/>
          <w:jc w:val="center"/>
        </w:trPr>
        <w:tc>
          <w:tcPr>
            <w:tcW w:w="1824" w:type="dxa"/>
            <w:vAlign w:val="center"/>
          </w:tcPr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总人口数</w:t>
            </w:r>
          </w:p>
        </w:tc>
        <w:tc>
          <w:tcPr>
            <w:tcW w:w="2128" w:type="dxa"/>
            <w:vAlign w:val="center"/>
          </w:tcPr>
          <w:p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903" w:type="dxa"/>
            <w:vAlign w:val="center"/>
          </w:tcPr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技能人才总数</w:t>
            </w:r>
          </w:p>
        </w:tc>
        <w:tc>
          <w:tcPr>
            <w:tcW w:w="1650" w:type="dxa"/>
            <w:vAlign w:val="center"/>
          </w:tcPr>
          <w:p>
            <w:pPr>
              <w:spacing w:line="32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gridAfter w:val="1"/>
          <w:wAfter w:w="7" w:type="dxa"/>
          <w:trHeight w:val="680" w:hRule="exact"/>
          <w:jc w:val="center"/>
        </w:trPr>
        <w:tc>
          <w:tcPr>
            <w:tcW w:w="1824" w:type="dxa"/>
            <w:vAlign w:val="center"/>
          </w:tcPr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sz w:val="24"/>
              </w:rPr>
              <w:t>高技能人才数量</w:t>
            </w:r>
          </w:p>
        </w:tc>
        <w:tc>
          <w:tcPr>
            <w:tcW w:w="2128" w:type="dxa"/>
            <w:vAlign w:val="center"/>
          </w:tcPr>
          <w:p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903" w:type="dxa"/>
            <w:vAlign w:val="center"/>
          </w:tcPr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新增技能人才数量（当年）</w:t>
            </w:r>
          </w:p>
        </w:tc>
        <w:tc>
          <w:tcPr>
            <w:tcW w:w="1650" w:type="dxa"/>
            <w:vAlign w:val="center"/>
          </w:tcPr>
          <w:p>
            <w:pPr>
              <w:spacing w:line="32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gridAfter w:val="1"/>
          <w:wAfter w:w="7" w:type="dxa"/>
          <w:trHeight w:val="5139" w:hRule="atLeast"/>
          <w:jc w:val="center"/>
        </w:trPr>
        <w:tc>
          <w:tcPr>
            <w:tcW w:w="1824" w:type="dxa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技能强省示范县创建工作的</w:t>
            </w:r>
          </w:p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sz w:val="24"/>
              </w:rPr>
              <w:t>特色和亮点</w:t>
            </w:r>
          </w:p>
        </w:tc>
        <w:tc>
          <w:tcPr>
            <w:tcW w:w="6681" w:type="dxa"/>
            <w:gridSpan w:val="3"/>
            <w:vAlign w:val="top"/>
          </w:tcPr>
          <w:p>
            <w:pPr>
              <w:spacing w:line="32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gridAfter w:val="1"/>
          <w:wAfter w:w="7" w:type="dxa"/>
          <w:trHeight w:val="4412" w:hRule="atLeast"/>
          <w:jc w:val="center"/>
        </w:trPr>
        <w:tc>
          <w:tcPr>
            <w:tcW w:w="1824" w:type="dxa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县（市、区）</w:t>
            </w:r>
          </w:p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人社局自评得分</w:t>
            </w:r>
          </w:p>
        </w:tc>
        <w:tc>
          <w:tcPr>
            <w:tcW w:w="6681" w:type="dxa"/>
            <w:gridSpan w:val="3"/>
            <w:vAlign w:val="top"/>
          </w:tcPr>
          <w:p>
            <w:pPr>
              <w:spacing w:line="32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889" w:hRule="atLeast"/>
          <w:jc w:val="center"/>
        </w:trPr>
        <w:tc>
          <w:tcPr>
            <w:tcW w:w="1824" w:type="dxa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县（市、区）</w:t>
            </w:r>
          </w:p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人民政府意见</w:t>
            </w:r>
          </w:p>
        </w:tc>
        <w:tc>
          <w:tcPr>
            <w:tcW w:w="6688" w:type="dxa"/>
            <w:gridSpan w:val="4"/>
            <w:vAlign w:val="top"/>
          </w:tcPr>
          <w:p>
            <w:pPr>
              <w:spacing w:line="320" w:lineRule="exact"/>
              <w:rPr>
                <w:sz w:val="24"/>
              </w:rPr>
            </w:pPr>
          </w:p>
          <w:p>
            <w:pPr>
              <w:spacing w:line="320" w:lineRule="exact"/>
              <w:rPr>
                <w:rFonts w:hint="eastAsia"/>
                <w:sz w:val="24"/>
              </w:rPr>
            </w:pPr>
          </w:p>
          <w:p>
            <w:pPr>
              <w:spacing w:line="320" w:lineRule="exact"/>
              <w:rPr>
                <w:rFonts w:hint="eastAsia"/>
                <w:sz w:val="24"/>
              </w:rPr>
            </w:pPr>
          </w:p>
          <w:p>
            <w:pPr>
              <w:spacing w:line="320" w:lineRule="exact"/>
              <w:rPr>
                <w:rFonts w:hint="eastAsia"/>
                <w:sz w:val="24"/>
              </w:rPr>
            </w:pPr>
          </w:p>
          <w:p>
            <w:pPr>
              <w:spacing w:line="320" w:lineRule="exact"/>
              <w:rPr>
                <w:rFonts w:hint="eastAsia"/>
                <w:sz w:val="24"/>
              </w:rPr>
            </w:pPr>
          </w:p>
          <w:p>
            <w:pPr>
              <w:spacing w:line="320" w:lineRule="exact"/>
              <w:rPr>
                <w:rFonts w:hint="eastAsia"/>
                <w:sz w:val="24"/>
              </w:rPr>
            </w:pPr>
          </w:p>
          <w:p>
            <w:pPr>
              <w:spacing w:line="320" w:lineRule="exact"/>
              <w:rPr>
                <w:rFonts w:hint="eastAsia"/>
                <w:sz w:val="24"/>
              </w:rPr>
            </w:pPr>
          </w:p>
          <w:p>
            <w:pPr>
              <w:spacing w:line="320" w:lineRule="exact"/>
              <w:rPr>
                <w:rFonts w:hint="eastAsia"/>
                <w:sz w:val="24"/>
              </w:rPr>
            </w:pPr>
          </w:p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</w:t>
            </w:r>
            <w:r>
              <w:rPr>
                <w:sz w:val="24"/>
              </w:rPr>
              <w:t>年   月   日</w:t>
            </w:r>
          </w:p>
          <w:p>
            <w:pPr>
              <w:spacing w:line="320" w:lineRule="exact"/>
              <w:jc w:val="center"/>
              <w:rPr>
                <w:sz w:val="24"/>
              </w:rPr>
            </w:pPr>
          </w:p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</w:t>
            </w:r>
            <w:r>
              <w:rPr>
                <w:sz w:val="24"/>
              </w:rPr>
              <w:t>（盖章）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385" w:hRule="atLeast"/>
          <w:jc w:val="center"/>
        </w:trPr>
        <w:tc>
          <w:tcPr>
            <w:tcW w:w="1824" w:type="dxa"/>
            <w:vAlign w:val="center"/>
          </w:tcPr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市州人社局意见</w:t>
            </w:r>
          </w:p>
        </w:tc>
        <w:tc>
          <w:tcPr>
            <w:tcW w:w="6688" w:type="dxa"/>
            <w:gridSpan w:val="4"/>
            <w:vAlign w:val="top"/>
          </w:tcPr>
          <w:p>
            <w:pPr>
              <w:spacing w:line="320" w:lineRule="exact"/>
              <w:rPr>
                <w:sz w:val="24"/>
              </w:rPr>
            </w:pPr>
          </w:p>
          <w:p>
            <w:pPr>
              <w:spacing w:line="320" w:lineRule="exact"/>
              <w:rPr>
                <w:sz w:val="24"/>
              </w:rPr>
            </w:pPr>
          </w:p>
          <w:p>
            <w:pPr>
              <w:spacing w:line="320" w:lineRule="exact"/>
              <w:rPr>
                <w:sz w:val="24"/>
              </w:rPr>
            </w:pPr>
          </w:p>
          <w:p>
            <w:pPr>
              <w:spacing w:line="320" w:lineRule="exact"/>
              <w:rPr>
                <w:rFonts w:hint="eastAsia"/>
                <w:sz w:val="24"/>
              </w:rPr>
            </w:pPr>
          </w:p>
          <w:p>
            <w:pPr>
              <w:spacing w:line="320" w:lineRule="exact"/>
              <w:rPr>
                <w:rFonts w:hint="eastAsia"/>
                <w:sz w:val="24"/>
              </w:rPr>
            </w:pPr>
          </w:p>
          <w:p>
            <w:pPr>
              <w:spacing w:line="320" w:lineRule="exact"/>
              <w:rPr>
                <w:rFonts w:hint="eastAsia"/>
                <w:sz w:val="24"/>
              </w:rPr>
            </w:pPr>
          </w:p>
          <w:p>
            <w:pPr>
              <w:spacing w:line="320" w:lineRule="exact"/>
              <w:rPr>
                <w:rFonts w:hint="eastAsia"/>
                <w:sz w:val="24"/>
              </w:rPr>
            </w:pPr>
          </w:p>
          <w:p>
            <w:pPr>
              <w:spacing w:line="320" w:lineRule="exact"/>
              <w:rPr>
                <w:rFonts w:hint="eastAsia"/>
                <w:sz w:val="24"/>
              </w:rPr>
            </w:pPr>
          </w:p>
          <w:p>
            <w:pPr>
              <w:spacing w:line="320" w:lineRule="exact"/>
              <w:rPr>
                <w:rFonts w:hint="eastAsia"/>
                <w:sz w:val="24"/>
              </w:rPr>
            </w:pPr>
          </w:p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</w:t>
            </w:r>
            <w:r>
              <w:rPr>
                <w:sz w:val="24"/>
              </w:rPr>
              <w:t>年   月   日</w:t>
            </w:r>
          </w:p>
          <w:p>
            <w:pPr>
              <w:spacing w:line="320" w:lineRule="exact"/>
              <w:jc w:val="center"/>
              <w:rPr>
                <w:sz w:val="24"/>
              </w:rPr>
            </w:pPr>
          </w:p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</w:t>
            </w:r>
            <w:r>
              <w:rPr>
                <w:sz w:val="24"/>
              </w:rPr>
              <w:t>（盖章）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468" w:hRule="atLeast"/>
          <w:jc w:val="center"/>
        </w:trPr>
        <w:tc>
          <w:tcPr>
            <w:tcW w:w="1824" w:type="dxa"/>
            <w:vAlign w:val="center"/>
          </w:tcPr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sz w:val="24"/>
              </w:rPr>
              <w:t>省人社厅意见</w:t>
            </w:r>
          </w:p>
        </w:tc>
        <w:tc>
          <w:tcPr>
            <w:tcW w:w="6688" w:type="dxa"/>
            <w:gridSpan w:val="4"/>
            <w:vAlign w:val="top"/>
          </w:tcPr>
          <w:p>
            <w:pPr>
              <w:spacing w:line="320" w:lineRule="exact"/>
              <w:rPr>
                <w:sz w:val="24"/>
              </w:rPr>
            </w:pPr>
          </w:p>
          <w:p>
            <w:pPr>
              <w:spacing w:line="320" w:lineRule="exact"/>
              <w:rPr>
                <w:sz w:val="24"/>
              </w:rPr>
            </w:pPr>
          </w:p>
          <w:p>
            <w:pPr>
              <w:spacing w:line="320" w:lineRule="exact"/>
              <w:rPr>
                <w:sz w:val="24"/>
              </w:rPr>
            </w:pPr>
          </w:p>
          <w:p>
            <w:pPr>
              <w:spacing w:line="320" w:lineRule="exact"/>
              <w:rPr>
                <w:rFonts w:hint="eastAsia"/>
                <w:sz w:val="24"/>
              </w:rPr>
            </w:pPr>
          </w:p>
          <w:p>
            <w:pPr>
              <w:spacing w:line="320" w:lineRule="exact"/>
              <w:rPr>
                <w:rFonts w:hint="eastAsia"/>
                <w:sz w:val="24"/>
              </w:rPr>
            </w:pPr>
          </w:p>
          <w:p>
            <w:pPr>
              <w:spacing w:line="320" w:lineRule="exact"/>
              <w:rPr>
                <w:rFonts w:hint="eastAsia"/>
                <w:sz w:val="24"/>
              </w:rPr>
            </w:pPr>
          </w:p>
          <w:p>
            <w:pPr>
              <w:spacing w:line="320" w:lineRule="exact"/>
              <w:rPr>
                <w:rFonts w:hint="eastAsia"/>
                <w:sz w:val="24"/>
              </w:rPr>
            </w:pPr>
          </w:p>
          <w:p>
            <w:pPr>
              <w:spacing w:line="320" w:lineRule="exact"/>
              <w:rPr>
                <w:rFonts w:hint="eastAsia"/>
                <w:sz w:val="24"/>
              </w:rPr>
            </w:pPr>
          </w:p>
          <w:p>
            <w:pPr>
              <w:spacing w:line="320" w:lineRule="exact"/>
              <w:rPr>
                <w:rFonts w:hint="eastAsia"/>
                <w:sz w:val="24"/>
              </w:rPr>
            </w:pPr>
          </w:p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</w:t>
            </w:r>
            <w:r>
              <w:rPr>
                <w:sz w:val="24"/>
              </w:rPr>
              <w:t>年   月   日</w:t>
            </w:r>
          </w:p>
          <w:p>
            <w:pPr>
              <w:spacing w:line="320" w:lineRule="exact"/>
              <w:jc w:val="center"/>
              <w:rPr>
                <w:sz w:val="24"/>
              </w:rPr>
            </w:pPr>
          </w:p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</w:t>
            </w:r>
            <w:r>
              <w:rPr>
                <w:sz w:val="24"/>
              </w:rPr>
              <w:t>（盖章）</w:t>
            </w:r>
          </w:p>
        </w:tc>
      </w:tr>
    </w:tbl>
    <w:p>
      <w:pPr>
        <w:spacing w:line="40" w:lineRule="exact"/>
        <w:rPr>
          <w:rFonts w:hint="eastAsia"/>
          <w:szCs w:val="30"/>
        </w:rPr>
      </w:pPr>
    </w:p>
    <w:p>
      <w:bookmarkStart w:id="5" w:name="_GoBack"/>
      <w:bookmarkEnd w:id="5"/>
    </w:p>
    <w:sectPr>
      <w:footerReference r:id="rId9" w:type="default"/>
      <w:pgSz w:w="11906" w:h="16838"/>
      <w:pgMar w:top="2155" w:right="1701" w:bottom="1814" w:left="1701" w:header="851" w:footer="1418" w:gutter="0"/>
      <w:cols w:space="720" w:num="1"/>
      <w:docGrid w:type="linesAndChars" w:linePitch="584" w:charSpace="7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  <w:rFonts w:hint="eastAsia"/>
        <w:sz w:val="28"/>
        <w:szCs w:val="28"/>
      </w:rPr>
    </w:pPr>
    <w:r>
      <w:rPr>
        <w:rStyle w:val="5"/>
        <w:rFonts w:ascii="宋体" w:hAnsi="宋体" w:eastAsia="宋体"/>
        <w:sz w:val="28"/>
        <w:szCs w:val="28"/>
      </w:rPr>
      <w:t>—</w:t>
    </w:r>
    <w:r>
      <w:rPr>
        <w:rStyle w:val="5"/>
        <w:rFonts w:hint="eastAsia" w:ascii="宋体" w:hAnsi="宋体" w:eastAsia="宋体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5"/>
        <w:sz w:val="28"/>
        <w:szCs w:val="28"/>
      </w:rPr>
      <w:t>4</w:t>
    </w:r>
    <w:r>
      <w:rPr>
        <w:sz w:val="28"/>
        <w:szCs w:val="28"/>
      </w:rPr>
      <w:fldChar w:fldCharType="end"/>
    </w:r>
    <w:r>
      <w:rPr>
        <w:rStyle w:val="5"/>
        <w:rFonts w:hint="eastAsia" w:ascii="宋体" w:hAnsi="宋体" w:eastAsia="宋体"/>
        <w:sz w:val="28"/>
        <w:szCs w:val="28"/>
      </w:rPr>
      <w:t xml:space="preserve"> —</w:t>
    </w:r>
  </w:p>
  <w:p>
    <w:pPr>
      <w:pStyle w:val="2"/>
      <w:snapToGrid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hint="eastAsia"/>
        <w:sz w:val="28"/>
        <w:szCs w:val="28"/>
      </w:rPr>
    </w:pPr>
    <w:r>
      <w:rPr>
        <w:rStyle w:val="5"/>
        <w:rFonts w:ascii="宋体" w:hAnsi="宋体" w:eastAsia="宋体"/>
        <w:sz w:val="28"/>
        <w:szCs w:val="28"/>
      </w:rPr>
      <w:t>—</w:t>
    </w:r>
    <w:r>
      <w:rPr>
        <w:rStyle w:val="5"/>
        <w:rFonts w:hint="eastAsia" w:ascii="宋体" w:hAnsi="宋体" w:eastAsia="宋体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5"/>
        <w:sz w:val="28"/>
        <w:szCs w:val="28"/>
      </w:rPr>
      <w:t>7</w:t>
    </w:r>
    <w:r>
      <w:rPr>
        <w:sz w:val="28"/>
        <w:szCs w:val="28"/>
      </w:rPr>
      <w:fldChar w:fldCharType="end"/>
    </w:r>
    <w:r>
      <w:rPr>
        <w:rStyle w:val="5"/>
        <w:rFonts w:hint="eastAsia" w:ascii="宋体" w:hAnsi="宋体" w:eastAsia="宋体"/>
        <w:sz w:val="28"/>
        <w:szCs w:val="28"/>
      </w:rPr>
      <w:t xml:space="preserve"> —</w:t>
    </w:r>
  </w:p>
  <w:p>
    <w:pPr>
      <w:pStyle w:val="2"/>
      <w:snapToGrid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74BFF"/>
    <w:multiLevelType w:val="singleLevel"/>
    <w:tmpl w:val="5D674BFF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D679147"/>
    <w:multiLevelType w:val="singleLevel"/>
    <w:tmpl w:val="5D679147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5D679282"/>
    <w:multiLevelType w:val="singleLevel"/>
    <w:tmpl w:val="5D679282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5D679B88"/>
    <w:multiLevelType w:val="singleLevel"/>
    <w:tmpl w:val="5D679B88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5D679D07"/>
    <w:multiLevelType w:val="singleLevel"/>
    <w:tmpl w:val="5D679D07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5D679FB1"/>
    <w:multiLevelType w:val="singleLevel"/>
    <w:tmpl w:val="5D679FB1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5D67A0E0"/>
    <w:multiLevelType w:val="singleLevel"/>
    <w:tmpl w:val="5D67A0E0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5D67A1AC"/>
    <w:multiLevelType w:val="singleLevel"/>
    <w:tmpl w:val="5D67A1AC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5D67A4BF"/>
    <w:multiLevelType w:val="singleLevel"/>
    <w:tmpl w:val="5D67A4BF"/>
    <w:lvl w:ilvl="0" w:tentative="0">
      <w:start w:val="1"/>
      <w:numFmt w:val="decimal"/>
      <w:suff w:val="nothing"/>
      <w:lvlText w:val="%1、"/>
      <w:lvlJc w:val="left"/>
    </w:lvl>
  </w:abstractNum>
  <w:abstractNum w:abstractNumId="9">
    <w:nsid w:val="5D67A5A5"/>
    <w:multiLevelType w:val="singleLevel"/>
    <w:tmpl w:val="5D67A5A5"/>
    <w:lvl w:ilvl="0" w:tentative="0">
      <w:start w:val="1"/>
      <w:numFmt w:val="decimal"/>
      <w:suff w:val="nothing"/>
      <w:lvlText w:val="%1、"/>
      <w:lvlJc w:val="left"/>
    </w:lvl>
  </w:abstractNum>
  <w:abstractNum w:abstractNumId="10">
    <w:nsid w:val="5D67A76B"/>
    <w:multiLevelType w:val="singleLevel"/>
    <w:tmpl w:val="5D67A76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046D89"/>
    <w:rsid w:val="2A046D8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/>
      <w:kern w:val="2"/>
      <w:sz w:val="30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2020-09-15T08:13:00Z</dcterms:created>
  <dc:creator>pc</dc:creator>
  <cp:lastModifiedBy>pc</cp:lastModifiedBy>
  <dcterms:modified xsi:type="dcterms:W3CDTF">2020-09-15T08:14:00Z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