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6" w:firstLineChars="200"/>
        <w:rPr>
          <w:rFonts w:ascii="Times" w:hAnsi="Times" w:eastAsia="Times New Roman"/>
          <w:b/>
          <w:color w:val="000000"/>
          <w:szCs w:val="30"/>
        </w:rPr>
      </w:pPr>
    </w:p>
    <w:p>
      <w:pPr>
        <w:spacing w:line="584"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rPr>
        <w:t>湖北省人力资源和社会保障</w:t>
      </w:r>
      <w:r>
        <w:rPr>
          <w:rFonts w:hint="eastAsia" w:ascii="方正小标宋简体" w:hAnsi="方正小标宋简体" w:eastAsia="方正小标宋简体" w:cs="方正小标宋简体"/>
          <w:color w:val="000000"/>
          <w:sz w:val="44"/>
          <w:szCs w:val="44"/>
          <w:lang w:eastAsia="zh-CN"/>
        </w:rPr>
        <w:t>信息中心</w:t>
      </w:r>
    </w:p>
    <w:p>
      <w:pPr>
        <w:spacing w:line="584"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21</w:t>
      </w:r>
      <w:r>
        <w:rPr>
          <w:rFonts w:hint="eastAsia" w:ascii="方正小标宋简体" w:hAnsi="方正小标宋简体" w:eastAsia="方正小标宋简体" w:cs="方正小标宋简体"/>
          <w:color w:val="000000"/>
          <w:sz w:val="44"/>
          <w:szCs w:val="44"/>
        </w:rPr>
        <w:t>年部门预算</w:t>
      </w:r>
    </w:p>
    <w:p>
      <w:pPr>
        <w:ind w:firstLine="606" w:firstLineChars="200"/>
        <w:rPr>
          <w:rFonts w:ascii="Times" w:hAnsi="Times" w:eastAsia="Times New Roman"/>
          <w:color w:val="000000"/>
          <w:szCs w:val="30"/>
        </w:rPr>
      </w:pPr>
    </w:p>
    <w:p>
      <w:pPr>
        <w:jc w:val="center"/>
        <w:rPr>
          <w:rFonts w:ascii="方正小标宋_GBK" w:hAnsi="Times" w:eastAsia="方正小标宋_GBK"/>
          <w:color w:val="000000"/>
          <w:sz w:val="32"/>
          <w:szCs w:val="32"/>
        </w:rPr>
      </w:pPr>
      <w:r>
        <w:rPr>
          <w:rFonts w:hint="eastAsia" w:ascii="方正小标宋_GBK" w:hAnsi="Times" w:eastAsia="方正小标宋_GBK"/>
          <w:color w:val="000000"/>
          <w:sz w:val="32"/>
          <w:szCs w:val="32"/>
        </w:rPr>
        <w:t>目</w:t>
      </w:r>
      <w:r>
        <w:rPr>
          <w:rFonts w:ascii="方正小标宋_GBK" w:hAnsi="Times" w:eastAsia="方正小标宋_GBK"/>
          <w:color w:val="000000"/>
          <w:sz w:val="32"/>
          <w:szCs w:val="32"/>
        </w:rPr>
        <w:t xml:space="preserve">      </w:t>
      </w:r>
      <w:r>
        <w:rPr>
          <w:rFonts w:hint="eastAsia" w:ascii="方正小标宋_GBK" w:hAnsi="Times" w:eastAsia="方正小标宋_GBK"/>
          <w:color w:val="000000"/>
          <w:sz w:val="32"/>
          <w:szCs w:val="32"/>
        </w:rPr>
        <w:t>录</w:t>
      </w:r>
    </w:p>
    <w:p>
      <w:pPr>
        <w:ind w:firstLine="606" w:firstLineChars="200"/>
        <w:rPr>
          <w:rFonts w:ascii="Times" w:hAnsi="Times" w:eastAsia="Times New Roman"/>
          <w:color w:val="000000"/>
          <w:szCs w:val="30"/>
        </w:rPr>
      </w:pPr>
    </w:p>
    <w:p>
      <w:pPr>
        <w:ind w:firstLine="606" w:firstLineChars="200"/>
        <w:rPr>
          <w:rFonts w:hint="eastAsia" w:ascii="黑体" w:hAnsi="Times" w:eastAsia="黑体"/>
          <w:color w:val="000000"/>
          <w:szCs w:val="30"/>
        </w:rPr>
      </w:pPr>
    </w:p>
    <w:p>
      <w:pPr>
        <w:ind w:firstLine="646" w:firstLineChars="200"/>
        <w:rPr>
          <w:rFonts w:ascii="黑体" w:hAnsi="Times" w:eastAsia="黑体"/>
          <w:color w:val="000000"/>
          <w:sz w:val="32"/>
          <w:szCs w:val="32"/>
        </w:rPr>
      </w:pPr>
      <w:r>
        <w:rPr>
          <w:rFonts w:hint="eastAsia" w:ascii="黑体" w:hAnsi="Times" w:eastAsia="黑体"/>
          <w:color w:val="000000"/>
          <w:sz w:val="32"/>
          <w:szCs w:val="32"/>
        </w:rPr>
        <w:t>一、部门职责及机构设置</w:t>
      </w:r>
    </w:p>
    <w:p>
      <w:pPr>
        <w:ind w:firstLine="646" w:firstLineChars="200"/>
        <w:rPr>
          <w:rFonts w:ascii="黑体" w:hAnsi="Times" w:eastAsia="黑体"/>
          <w:color w:val="000000"/>
          <w:sz w:val="32"/>
          <w:szCs w:val="32"/>
        </w:rPr>
      </w:pPr>
      <w:r>
        <w:rPr>
          <w:rFonts w:hint="eastAsia" w:ascii="黑体" w:hAnsi="Times" w:eastAsia="黑体"/>
          <w:color w:val="000000"/>
          <w:sz w:val="32"/>
          <w:szCs w:val="32"/>
          <w:lang w:eastAsia="zh-CN"/>
        </w:rPr>
        <w:t>二</w:t>
      </w:r>
      <w:r>
        <w:rPr>
          <w:rFonts w:hint="eastAsia" w:ascii="黑体" w:hAnsi="Times" w:eastAsia="黑体"/>
          <w:color w:val="000000"/>
          <w:sz w:val="32"/>
          <w:szCs w:val="32"/>
        </w:rPr>
        <w:t>、</w:t>
      </w:r>
      <w:r>
        <w:rPr>
          <w:rFonts w:ascii="黑体" w:hAnsi="Times" w:eastAsia="黑体"/>
          <w:color w:val="000000"/>
          <w:sz w:val="32"/>
          <w:szCs w:val="32"/>
        </w:rPr>
        <w:t>20</w:t>
      </w:r>
      <w:r>
        <w:rPr>
          <w:rFonts w:hint="eastAsia" w:ascii="黑体" w:hAnsi="Times" w:eastAsia="黑体"/>
          <w:color w:val="000000"/>
          <w:sz w:val="32"/>
          <w:szCs w:val="32"/>
          <w:lang w:val="en-US" w:eastAsia="zh-CN"/>
        </w:rPr>
        <w:t>21</w:t>
      </w:r>
      <w:r>
        <w:rPr>
          <w:rFonts w:hint="eastAsia" w:ascii="黑体" w:hAnsi="Times" w:eastAsia="黑体"/>
          <w:color w:val="000000"/>
          <w:sz w:val="32"/>
          <w:szCs w:val="32"/>
        </w:rPr>
        <w:t>年部门预算收支增减变化情况</w:t>
      </w:r>
    </w:p>
    <w:p>
      <w:pPr>
        <w:ind w:firstLine="646" w:firstLineChars="200"/>
        <w:rPr>
          <w:rFonts w:ascii="楷体_GB2312" w:hAnsi="楷体" w:eastAsia="楷体_GB2312" w:cs="楷体"/>
          <w:color w:val="000000"/>
          <w:sz w:val="32"/>
          <w:szCs w:val="32"/>
        </w:rPr>
      </w:pPr>
      <w:r>
        <w:rPr>
          <w:rFonts w:hint="eastAsia" w:ascii="楷体_GB2312" w:hAnsi="楷体" w:eastAsia="楷体_GB2312" w:cs="楷体"/>
          <w:color w:val="000000"/>
          <w:sz w:val="32"/>
          <w:szCs w:val="32"/>
        </w:rPr>
        <w:t>（一）收支预算总体变化情况</w:t>
      </w:r>
    </w:p>
    <w:p>
      <w:pPr>
        <w:ind w:firstLine="646" w:firstLineChars="200"/>
        <w:rPr>
          <w:rFonts w:ascii="楷体_GB2312" w:hAnsi="楷体" w:eastAsia="楷体_GB2312" w:cs="楷体"/>
          <w:color w:val="000000"/>
          <w:sz w:val="32"/>
          <w:szCs w:val="32"/>
        </w:rPr>
      </w:pPr>
      <w:r>
        <w:rPr>
          <w:rFonts w:hint="eastAsia" w:ascii="楷体_GB2312" w:hAnsi="楷体" w:eastAsia="楷体_GB2312" w:cs="楷体"/>
          <w:color w:val="000000"/>
          <w:sz w:val="32"/>
          <w:szCs w:val="32"/>
        </w:rPr>
        <w:t>（二）财政拨款“三公”经费预算变化情况</w:t>
      </w:r>
    </w:p>
    <w:p>
      <w:pPr>
        <w:ind w:firstLine="646" w:firstLineChars="200"/>
        <w:rPr>
          <w:rFonts w:ascii="楷体_GB2312" w:hAnsi="楷体" w:eastAsia="楷体_GB2312" w:cs="楷体"/>
          <w:color w:val="000000"/>
          <w:sz w:val="32"/>
          <w:szCs w:val="32"/>
        </w:rPr>
      </w:pPr>
      <w:r>
        <w:rPr>
          <w:rFonts w:hint="eastAsia" w:ascii="楷体_GB2312" w:hAnsi="楷体" w:eastAsia="楷体_GB2312" w:cs="楷体"/>
          <w:color w:val="000000"/>
          <w:sz w:val="32"/>
          <w:szCs w:val="32"/>
        </w:rPr>
        <w:t>（三）政府性基金情况</w:t>
      </w:r>
    </w:p>
    <w:p>
      <w:pPr>
        <w:ind w:firstLine="646" w:firstLineChars="200"/>
        <w:rPr>
          <w:rFonts w:ascii="黑体" w:hAnsi="Times" w:eastAsia="黑体"/>
          <w:color w:val="000000"/>
          <w:sz w:val="32"/>
          <w:szCs w:val="32"/>
        </w:rPr>
      </w:pPr>
      <w:r>
        <w:rPr>
          <w:rFonts w:hint="eastAsia" w:ascii="黑体" w:hAnsi="Times" w:eastAsia="黑体"/>
          <w:color w:val="000000"/>
          <w:sz w:val="32"/>
          <w:szCs w:val="32"/>
          <w:lang w:eastAsia="zh-CN"/>
        </w:rPr>
        <w:t>三</w:t>
      </w:r>
      <w:r>
        <w:rPr>
          <w:rFonts w:hint="eastAsia" w:ascii="黑体" w:hAnsi="Times" w:eastAsia="黑体"/>
          <w:color w:val="000000"/>
          <w:sz w:val="32"/>
          <w:szCs w:val="32"/>
        </w:rPr>
        <w:t>、机关运行经费安排情况</w:t>
      </w:r>
    </w:p>
    <w:p>
      <w:pPr>
        <w:ind w:firstLine="646" w:firstLineChars="200"/>
        <w:rPr>
          <w:rFonts w:ascii="黑体" w:hAnsi="Times" w:eastAsia="黑体"/>
          <w:color w:val="000000"/>
          <w:sz w:val="32"/>
          <w:szCs w:val="32"/>
        </w:rPr>
      </w:pPr>
      <w:r>
        <w:rPr>
          <w:rFonts w:hint="eastAsia" w:ascii="黑体" w:hAnsi="Times" w:eastAsia="黑体"/>
          <w:color w:val="000000"/>
          <w:sz w:val="32"/>
          <w:szCs w:val="32"/>
          <w:lang w:eastAsia="zh-CN"/>
        </w:rPr>
        <w:t>四</w:t>
      </w:r>
      <w:r>
        <w:rPr>
          <w:rFonts w:hint="eastAsia" w:ascii="黑体" w:hAnsi="Times" w:eastAsia="黑体"/>
          <w:color w:val="000000"/>
          <w:sz w:val="32"/>
          <w:szCs w:val="32"/>
        </w:rPr>
        <w:t>、政府采购预算安排情况</w:t>
      </w:r>
    </w:p>
    <w:p>
      <w:pPr>
        <w:ind w:firstLine="646" w:firstLineChars="200"/>
        <w:rPr>
          <w:rFonts w:ascii="黑体" w:hAnsi="Times" w:eastAsia="黑体"/>
          <w:color w:val="000000"/>
          <w:sz w:val="32"/>
          <w:szCs w:val="32"/>
        </w:rPr>
      </w:pPr>
      <w:r>
        <w:rPr>
          <w:rFonts w:hint="eastAsia" w:ascii="黑体" w:hAnsi="Times" w:eastAsia="黑体"/>
          <w:color w:val="000000"/>
          <w:sz w:val="32"/>
          <w:szCs w:val="32"/>
          <w:lang w:eastAsia="zh-CN"/>
        </w:rPr>
        <w:t>五</w:t>
      </w:r>
      <w:r>
        <w:rPr>
          <w:rFonts w:hint="eastAsia" w:ascii="黑体" w:hAnsi="Times" w:eastAsia="黑体"/>
          <w:color w:val="000000"/>
          <w:sz w:val="32"/>
          <w:szCs w:val="32"/>
        </w:rPr>
        <w:t>、国有资产占用情况</w:t>
      </w:r>
    </w:p>
    <w:p>
      <w:pPr>
        <w:ind w:firstLine="646" w:firstLineChars="200"/>
        <w:rPr>
          <w:rFonts w:ascii="黑体" w:hAnsi="Times" w:eastAsia="黑体"/>
          <w:color w:val="000000"/>
          <w:sz w:val="32"/>
          <w:szCs w:val="32"/>
        </w:rPr>
      </w:pPr>
      <w:r>
        <w:rPr>
          <w:rFonts w:hint="eastAsia" w:ascii="黑体" w:hAnsi="Times" w:eastAsia="黑体"/>
          <w:color w:val="000000"/>
          <w:sz w:val="32"/>
          <w:szCs w:val="32"/>
          <w:lang w:eastAsia="zh-CN"/>
        </w:rPr>
        <w:t>六</w:t>
      </w:r>
      <w:r>
        <w:rPr>
          <w:rFonts w:hint="eastAsia" w:ascii="黑体" w:hAnsi="Times" w:eastAsia="黑体"/>
          <w:color w:val="000000"/>
          <w:sz w:val="32"/>
          <w:szCs w:val="32"/>
        </w:rPr>
        <w:t>、重点预算项目绩效目标情况</w:t>
      </w:r>
    </w:p>
    <w:p>
      <w:pPr>
        <w:ind w:firstLine="646" w:firstLineChars="200"/>
        <w:rPr>
          <w:rFonts w:hint="eastAsia" w:ascii="黑体" w:hAnsi="Times" w:eastAsia="黑体"/>
          <w:color w:val="000000"/>
          <w:sz w:val="32"/>
          <w:szCs w:val="32"/>
        </w:rPr>
      </w:pPr>
      <w:r>
        <w:rPr>
          <w:rFonts w:hint="eastAsia" w:ascii="黑体" w:hAnsi="Times" w:eastAsia="黑体"/>
          <w:color w:val="000000"/>
          <w:sz w:val="32"/>
          <w:szCs w:val="32"/>
          <w:lang w:eastAsia="zh-CN"/>
        </w:rPr>
        <w:t>七</w:t>
      </w:r>
      <w:r>
        <w:rPr>
          <w:rFonts w:hint="eastAsia" w:ascii="黑体" w:hAnsi="Times" w:eastAsia="黑体"/>
          <w:color w:val="000000"/>
          <w:sz w:val="32"/>
          <w:szCs w:val="32"/>
        </w:rPr>
        <w:t>、名词解释</w:t>
      </w:r>
    </w:p>
    <w:p>
      <w:pPr>
        <w:ind w:firstLine="646" w:firstLineChars="200"/>
        <w:rPr>
          <w:rFonts w:hint="eastAsia" w:ascii="黑体" w:hAnsi="Times" w:eastAsia="黑体"/>
          <w:color w:val="000000"/>
          <w:sz w:val="32"/>
          <w:szCs w:val="32"/>
          <w:lang w:eastAsia="zh-CN"/>
        </w:rPr>
      </w:pPr>
      <w:r>
        <w:rPr>
          <w:rFonts w:hint="eastAsia" w:ascii="黑体" w:hAnsi="Times" w:eastAsia="黑体"/>
          <w:color w:val="000000"/>
          <w:sz w:val="32"/>
          <w:szCs w:val="32"/>
          <w:lang w:eastAsia="zh-CN"/>
        </w:rPr>
        <w:t>八、</w:t>
      </w:r>
      <w:r>
        <w:rPr>
          <w:rFonts w:hint="eastAsia" w:ascii="黑体" w:hAnsi="Times" w:eastAsia="黑体"/>
          <w:color w:val="000000"/>
          <w:sz w:val="32"/>
          <w:szCs w:val="32"/>
          <w:lang w:val="en-US" w:eastAsia="zh-CN"/>
        </w:rPr>
        <w:t>2021年部门预算公开用表</w:t>
      </w:r>
    </w:p>
    <w:p>
      <w:pPr>
        <w:numPr>
          <w:ilvl w:val="0"/>
          <w:numId w:val="0"/>
        </w:numPr>
        <w:jc w:val="both"/>
        <w:rPr>
          <w:rFonts w:hint="eastAsia" w:ascii="黑体" w:hAnsi="黑体" w:eastAsia="黑体" w:cs="黑体"/>
          <w:b w:val="0"/>
          <w:bCs w:val="0"/>
          <w:sz w:val="30"/>
          <w:szCs w:val="30"/>
          <w:lang w:val="en-US" w:eastAsia="zh-CN"/>
        </w:rPr>
      </w:pPr>
    </w:p>
    <w:p>
      <w:pPr>
        <w:ind w:firstLine="606" w:firstLineChars="200"/>
        <w:rPr>
          <w:rFonts w:hint="eastAsia" w:ascii="黑体" w:hAnsi="Times" w:eastAsia="黑体"/>
          <w:color w:val="000000"/>
          <w:szCs w:val="30"/>
        </w:rPr>
      </w:pPr>
    </w:p>
    <w:p>
      <w:pPr>
        <w:ind w:firstLine="606" w:firstLineChars="200"/>
        <w:rPr>
          <w:rFonts w:hint="eastAsia" w:ascii="黑体" w:hAnsi="Times" w:eastAsia="黑体"/>
          <w:color w:val="000000"/>
          <w:szCs w:val="30"/>
        </w:rPr>
      </w:pPr>
    </w:p>
    <w:p>
      <w:pPr>
        <w:ind w:firstLine="606" w:firstLineChars="200"/>
        <w:rPr>
          <w:rFonts w:hint="eastAsia" w:ascii="黑体" w:hAnsi="Times" w:eastAsia="黑体"/>
          <w:color w:val="000000"/>
          <w:szCs w:val="30"/>
        </w:rPr>
      </w:pPr>
    </w:p>
    <w:p>
      <w:pPr>
        <w:ind w:firstLine="646" w:firstLineChars="200"/>
        <w:rPr>
          <w:rFonts w:ascii="黑体" w:hAnsi="Times" w:eastAsia="黑体"/>
          <w:color w:val="000000" w:themeColor="text1"/>
          <w:sz w:val="32"/>
          <w:szCs w:val="32"/>
          <w14:textFill>
            <w14:solidFill>
              <w14:schemeClr w14:val="tx1"/>
            </w14:solidFill>
          </w14:textFill>
        </w:rPr>
      </w:pPr>
      <w:r>
        <w:rPr>
          <w:rFonts w:hint="eastAsia" w:ascii="黑体" w:hAnsi="Times" w:eastAsia="黑体"/>
          <w:color w:val="000000" w:themeColor="text1"/>
          <w:sz w:val="32"/>
          <w:szCs w:val="32"/>
          <w14:textFill>
            <w14:solidFill>
              <w14:schemeClr w14:val="tx1"/>
            </w14:solidFill>
          </w14:textFill>
        </w:rPr>
        <w:t>一、部门职责及机构设置</w:t>
      </w:r>
    </w:p>
    <w:p>
      <w:pPr>
        <w:ind w:firstLine="646"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（一）主要职责</w:t>
      </w:r>
    </w:p>
    <w:p>
      <w:pPr>
        <w:ind w:firstLine="646"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湖北</w:t>
      </w:r>
      <w:r>
        <w:rPr>
          <w:rFonts w:hint="eastAsia" w:ascii="仿宋" w:hAnsi="仿宋" w:eastAsia="仿宋" w:cs="仿宋"/>
          <w:color w:val="000000" w:themeColor="text1"/>
          <w:sz w:val="32"/>
          <w:szCs w:val="32"/>
          <w14:textFill>
            <w14:solidFill>
              <w14:schemeClr w14:val="tx1"/>
            </w14:solidFill>
          </w14:textFill>
        </w:rPr>
        <w:t>省人力资源和社会保障信息中心为省人力资源和社会保障厅管理的公益一类事业单位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主要职责为：</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拟订全省人力资源和社会保障信息化建设的总体规划和实施方案并组织实施。负责省级信息化建设项目立项文件编制及项目验收工作；</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拟订全省人力资源和社会保障信息系统建设标准、技术规范和管理制度，负责各类信息系统总体设计并组织实施；</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负责全省人力资源和社会保障各项业务管理、公共服务、监管监督、宏观决策等应用软件开发、推广和升级维护，并组织制订相关管理制度；</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负责全省人力资源和社会保障信息网络建设的规划设计和标准规范的制定工作，组织和指导全省广域网和城域网建设，承担全省联网的组织实施和运行维护工作；</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组织推动全省人力资源和社会保障数据中心建设，承担省级人力资源和社会保障数据中心的建设和维护管理；</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组织全省12333电话咨询服务系统建设，制定12333电话咨询服务规范，考核服务质量，承担省级12333电话咨询服务中心建设和维护管理；</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按照中华人民共和国社会保障卡的标准和规范，拟订全省社会保障卡建设规划和实施方案，负责全省社会保障卡发行和应用管理工作，管理全省社会保障卡密钥；</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负责厅门户网站和厅办公自动化系统建设的技术保障和维护工作，承担全省视频会议系统建设和维护；</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制订并组织实施全省人力资源和社会保障系统信息安全方案、标准规范和规章制度。负责厅机关、公务员局和所属事业单位的网络运行管理和计算机信息系统安全保密工作；</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指导全省开展人力资源和社会保障信息系统异地容灾备份和灾难恢复工作，承担省级人力资源和社会保障信息系统异地容灾备份中心建设。承担省级人力资源和社会保障电子认证系统建设和维护工作；</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负责全省人力资源和社会保障统计信息化以及综合统计工作，组织实施统计调查和数据挖掘分析；</w:t>
      </w:r>
    </w:p>
    <w:p>
      <w:pPr>
        <w:numPr>
          <w:ilvl w:val="0"/>
          <w:numId w:val="1"/>
        </w:numPr>
        <w:ind w:left="0" w:leftChars="0"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承担厅信息化领导小组办公室的日常工作。</w:t>
      </w:r>
    </w:p>
    <w:p>
      <w:pPr>
        <w:ind w:firstLine="646"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二</w:t>
      </w: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机构设置</w:t>
      </w:r>
    </w:p>
    <w:p>
      <w:pPr>
        <w:ind w:firstLine="646"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无</w:t>
      </w:r>
    </w:p>
    <w:p>
      <w:pPr>
        <w:ind w:firstLine="646" w:firstLineChars="200"/>
        <w:rPr>
          <w:rFonts w:ascii="黑体" w:hAnsi="Times" w:eastAsia="黑体" w:cs="黑体"/>
          <w:bCs/>
          <w:color w:val="000000" w:themeColor="text1"/>
          <w:sz w:val="32"/>
          <w:szCs w:val="32"/>
          <w14:textFill>
            <w14:solidFill>
              <w14:schemeClr w14:val="tx1"/>
            </w14:solidFill>
          </w14:textFill>
        </w:rPr>
      </w:pPr>
      <w:r>
        <w:rPr>
          <w:rFonts w:hint="eastAsia" w:ascii="黑体" w:hAnsi="Times" w:eastAsia="黑体" w:cs="黑体"/>
          <w:bCs/>
          <w:color w:val="000000" w:themeColor="text1"/>
          <w:sz w:val="32"/>
          <w:szCs w:val="32"/>
          <w:lang w:eastAsia="zh-CN"/>
          <w14:textFill>
            <w14:solidFill>
              <w14:schemeClr w14:val="tx1"/>
            </w14:solidFill>
          </w14:textFill>
        </w:rPr>
        <w:t>二</w:t>
      </w:r>
      <w:r>
        <w:rPr>
          <w:rFonts w:hint="eastAsia" w:ascii="黑体" w:hAnsi="Times" w:eastAsia="黑体" w:cs="黑体"/>
          <w:bCs/>
          <w:color w:val="000000" w:themeColor="text1"/>
          <w:sz w:val="32"/>
          <w:szCs w:val="32"/>
          <w14:textFill>
            <w14:solidFill>
              <w14:schemeClr w14:val="tx1"/>
            </w14:solidFill>
          </w14:textFill>
        </w:rPr>
        <w:t>、</w:t>
      </w:r>
      <w:r>
        <w:rPr>
          <w:rFonts w:ascii="黑体" w:hAnsi="Times" w:eastAsia="黑体" w:cs="黑体"/>
          <w:bCs/>
          <w:color w:val="000000" w:themeColor="text1"/>
          <w:sz w:val="32"/>
          <w:szCs w:val="32"/>
          <w14:textFill>
            <w14:solidFill>
              <w14:schemeClr w14:val="tx1"/>
            </w14:solidFill>
          </w14:textFill>
        </w:rPr>
        <w:t>20</w:t>
      </w:r>
      <w:r>
        <w:rPr>
          <w:rFonts w:hint="eastAsia" w:ascii="黑体" w:hAnsi="Times" w:eastAsia="黑体" w:cs="黑体"/>
          <w:bCs/>
          <w:color w:val="000000" w:themeColor="text1"/>
          <w:sz w:val="32"/>
          <w:szCs w:val="32"/>
          <w:lang w:val="en-US" w:eastAsia="zh-CN"/>
          <w14:textFill>
            <w14:solidFill>
              <w14:schemeClr w14:val="tx1"/>
            </w14:solidFill>
          </w14:textFill>
        </w:rPr>
        <w:t>21</w:t>
      </w:r>
      <w:r>
        <w:rPr>
          <w:rFonts w:hint="eastAsia" w:ascii="黑体" w:hAnsi="Times" w:eastAsia="黑体" w:cs="黑体"/>
          <w:bCs/>
          <w:color w:val="000000" w:themeColor="text1"/>
          <w:sz w:val="32"/>
          <w:szCs w:val="32"/>
          <w14:textFill>
            <w14:solidFill>
              <w14:schemeClr w14:val="tx1"/>
            </w14:solidFill>
          </w14:textFill>
        </w:rPr>
        <w:t>年部门预算收支增减变化情况</w:t>
      </w:r>
    </w:p>
    <w:p>
      <w:pPr>
        <w:ind w:firstLine="646"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（一）收支预算总体变化情况</w:t>
      </w:r>
    </w:p>
    <w:p>
      <w:pPr>
        <w:ind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年收入支出预算总计为</w:t>
      </w:r>
      <w:r>
        <w:rPr>
          <w:rFonts w:hint="eastAsia" w:ascii="仿宋" w:hAnsi="仿宋" w:eastAsia="仿宋" w:cs="仿宋"/>
          <w:color w:val="000000" w:themeColor="text1"/>
          <w:sz w:val="32"/>
          <w:szCs w:val="32"/>
          <w:lang w:val="en-US" w:eastAsia="zh-CN"/>
          <w14:textFill>
            <w14:solidFill>
              <w14:schemeClr w14:val="tx1"/>
            </w14:solidFill>
          </w14:textFill>
        </w:rPr>
        <w:t>2329.96</w:t>
      </w:r>
      <w:r>
        <w:rPr>
          <w:rFonts w:hint="eastAsia" w:ascii="仿宋" w:hAnsi="仿宋" w:eastAsia="仿宋" w:cs="仿宋"/>
          <w:color w:val="000000" w:themeColor="text1"/>
          <w:sz w:val="32"/>
          <w:szCs w:val="32"/>
          <w14:textFill>
            <w14:solidFill>
              <w14:schemeClr w14:val="tx1"/>
            </w14:solidFill>
          </w14:textFill>
        </w:rPr>
        <w:t>万元，较上年</w:t>
      </w:r>
      <w:r>
        <w:rPr>
          <w:rFonts w:hint="eastAsia" w:ascii="仿宋" w:hAnsi="仿宋" w:eastAsia="仿宋" w:cs="仿宋"/>
          <w:color w:val="000000" w:themeColor="text1"/>
          <w:sz w:val="32"/>
          <w:szCs w:val="32"/>
          <w:lang w:val="en-US" w:eastAsia="zh-CN"/>
          <w14:textFill>
            <w14:solidFill>
              <w14:schemeClr w14:val="tx1"/>
            </w14:solidFill>
          </w14:textFill>
        </w:rPr>
        <w:t>3084.83</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减少</w:t>
      </w:r>
      <w:r>
        <w:rPr>
          <w:rFonts w:hint="eastAsia" w:ascii="仿宋" w:hAnsi="仿宋" w:eastAsia="仿宋" w:cs="仿宋"/>
          <w:color w:val="000000" w:themeColor="text1"/>
          <w:sz w:val="32"/>
          <w:szCs w:val="32"/>
          <w:lang w:val="en-US" w:eastAsia="zh-CN"/>
          <w14:textFill>
            <w14:solidFill>
              <w14:schemeClr w14:val="tx1"/>
            </w14:solidFill>
          </w14:textFill>
        </w:rPr>
        <w:t>754.87</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降</w:t>
      </w:r>
      <w:r>
        <w:rPr>
          <w:rFonts w:hint="eastAsia" w:ascii="仿宋" w:hAnsi="仿宋" w:eastAsia="仿宋" w:cs="仿宋"/>
          <w:color w:val="000000" w:themeColor="text1"/>
          <w:sz w:val="32"/>
          <w:szCs w:val="32"/>
          <w14:textFill>
            <w14:solidFill>
              <w14:schemeClr w14:val="tx1"/>
            </w14:solidFill>
          </w14:textFill>
        </w:rPr>
        <w:t>幅</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w:t>
      </w:r>
    </w:p>
    <w:p>
      <w:pPr>
        <w:ind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收入方面，本年财政拨款收入</w:t>
      </w:r>
      <w:r>
        <w:rPr>
          <w:rFonts w:hint="eastAsia" w:ascii="仿宋" w:hAnsi="仿宋" w:eastAsia="仿宋" w:cs="仿宋"/>
          <w:color w:val="000000" w:themeColor="text1"/>
          <w:sz w:val="32"/>
          <w:szCs w:val="32"/>
          <w:lang w:val="en-US" w:eastAsia="zh-CN"/>
          <w14:textFill>
            <w14:solidFill>
              <w14:schemeClr w14:val="tx1"/>
            </w14:solidFill>
          </w14:textFill>
        </w:rPr>
        <w:t>2329.96</w:t>
      </w:r>
      <w:r>
        <w:rPr>
          <w:rFonts w:hint="eastAsia" w:ascii="仿宋" w:hAnsi="仿宋" w:eastAsia="仿宋" w:cs="仿宋"/>
          <w:color w:val="000000" w:themeColor="text1"/>
          <w:sz w:val="32"/>
          <w:szCs w:val="32"/>
          <w14:textFill>
            <w14:solidFill>
              <w14:schemeClr w14:val="tx1"/>
            </w14:solidFill>
          </w14:textFill>
        </w:rPr>
        <w:t>万元，较上年</w:t>
      </w:r>
      <w:r>
        <w:rPr>
          <w:rFonts w:hint="eastAsia" w:ascii="仿宋" w:hAnsi="仿宋" w:eastAsia="仿宋" w:cs="仿宋"/>
          <w:color w:val="000000" w:themeColor="text1"/>
          <w:sz w:val="32"/>
          <w:szCs w:val="32"/>
          <w:lang w:val="en-US" w:eastAsia="zh-CN"/>
          <w14:textFill>
            <w14:solidFill>
              <w14:schemeClr w14:val="tx1"/>
            </w14:solidFill>
          </w14:textFill>
        </w:rPr>
        <w:t>3078.03</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减少</w:t>
      </w:r>
      <w:r>
        <w:rPr>
          <w:rFonts w:hint="eastAsia" w:ascii="仿宋" w:hAnsi="仿宋" w:eastAsia="仿宋" w:cs="仿宋"/>
          <w:color w:val="000000" w:themeColor="text1"/>
          <w:sz w:val="32"/>
          <w:szCs w:val="32"/>
          <w:lang w:val="en-US" w:eastAsia="zh-CN"/>
          <w14:textFill>
            <w14:solidFill>
              <w14:schemeClr w14:val="tx1"/>
            </w14:solidFill>
          </w14:textFill>
        </w:rPr>
        <w:t>768.07</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降</w:t>
      </w:r>
      <w:r>
        <w:rPr>
          <w:rFonts w:hint="eastAsia" w:ascii="仿宋" w:hAnsi="仿宋" w:eastAsia="仿宋" w:cs="仿宋"/>
          <w:color w:val="000000" w:themeColor="text1"/>
          <w:sz w:val="32"/>
          <w:szCs w:val="32"/>
          <w14:textFill>
            <w14:solidFill>
              <w14:schemeClr w14:val="tx1"/>
            </w14:solidFill>
          </w14:textFill>
        </w:rPr>
        <w:t>幅为</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%；本年事业收入为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万元；其他收入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万元；上年结余（转）</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万元；动用事业基金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ind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支出方面，本年基本支出</w:t>
      </w:r>
      <w:r>
        <w:rPr>
          <w:rFonts w:hint="eastAsia" w:ascii="仿宋" w:hAnsi="仿宋" w:eastAsia="仿宋" w:cs="仿宋"/>
          <w:color w:val="000000" w:themeColor="text1"/>
          <w:sz w:val="32"/>
          <w:szCs w:val="32"/>
          <w:lang w:val="en-US" w:eastAsia="zh-CN"/>
          <w14:textFill>
            <w14:solidFill>
              <w14:schemeClr w14:val="tx1"/>
            </w14:solidFill>
          </w14:textFill>
        </w:rPr>
        <w:t>623.00</w:t>
      </w:r>
      <w:r>
        <w:rPr>
          <w:rFonts w:hint="eastAsia" w:ascii="仿宋" w:hAnsi="仿宋" w:eastAsia="仿宋" w:cs="仿宋"/>
          <w:color w:val="000000" w:themeColor="text1"/>
          <w:sz w:val="32"/>
          <w:szCs w:val="32"/>
          <w14:textFill>
            <w14:solidFill>
              <w14:schemeClr w14:val="tx1"/>
            </w14:solidFill>
          </w14:textFill>
        </w:rPr>
        <w:t>万元，较上年</w:t>
      </w:r>
      <w:r>
        <w:rPr>
          <w:rFonts w:hint="eastAsia" w:ascii="仿宋" w:hAnsi="仿宋" w:eastAsia="仿宋" w:cs="仿宋"/>
          <w:color w:val="000000" w:themeColor="text1"/>
          <w:sz w:val="32"/>
          <w:szCs w:val="32"/>
          <w:lang w:val="en-US" w:eastAsia="zh-CN"/>
          <w14:textFill>
            <w14:solidFill>
              <w14:schemeClr w14:val="tx1"/>
            </w14:solidFill>
          </w14:textFill>
        </w:rPr>
        <w:t>600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增</w:t>
      </w:r>
      <w:r>
        <w:rPr>
          <w:rFonts w:hint="eastAsia" w:ascii="仿宋" w:hAnsi="仿宋" w:eastAsia="仿宋" w:cs="仿宋"/>
          <w:color w:val="000000" w:themeColor="text1"/>
          <w:sz w:val="32"/>
          <w:szCs w:val="32"/>
          <w14:textFill>
            <w14:solidFill>
              <w14:schemeClr w14:val="tx1"/>
            </w14:solidFill>
          </w14:textFill>
        </w:rPr>
        <w:t>幅</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%；本年项目支出</w:t>
      </w:r>
      <w:r>
        <w:rPr>
          <w:rFonts w:hint="eastAsia" w:ascii="仿宋" w:hAnsi="仿宋" w:eastAsia="仿宋" w:cs="仿宋"/>
          <w:color w:val="000000" w:themeColor="text1"/>
          <w:sz w:val="32"/>
          <w:szCs w:val="32"/>
          <w:lang w:val="en-US" w:eastAsia="zh-CN"/>
          <w14:textFill>
            <w14:solidFill>
              <w14:schemeClr w14:val="tx1"/>
            </w14:solidFill>
          </w14:textFill>
        </w:rPr>
        <w:t>1,706.96</w:t>
      </w:r>
      <w:r>
        <w:rPr>
          <w:rFonts w:hint="eastAsia" w:ascii="仿宋" w:hAnsi="仿宋" w:eastAsia="仿宋" w:cs="仿宋"/>
          <w:color w:val="000000" w:themeColor="text1"/>
          <w:sz w:val="32"/>
          <w:szCs w:val="32"/>
          <w14:textFill>
            <w14:solidFill>
              <w14:schemeClr w14:val="tx1"/>
            </w14:solidFill>
          </w14:textFill>
        </w:rPr>
        <w:t>万元，较上</w:t>
      </w:r>
      <w:r>
        <w:rPr>
          <w:rFonts w:hint="eastAsia" w:ascii="仿宋" w:hAnsi="仿宋" w:eastAsia="仿宋" w:cs="仿宋"/>
          <w:color w:val="000000" w:themeColor="text1"/>
          <w:sz w:val="32"/>
          <w:szCs w:val="32"/>
          <w:lang w:val="en-US" w:eastAsia="zh-CN"/>
          <w14:textFill>
            <w14:solidFill>
              <w14:schemeClr w14:val="tx1"/>
            </w14:solidFill>
          </w14:textFill>
        </w:rPr>
        <w:t>2484.83</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减少</w:t>
      </w:r>
      <w:r>
        <w:rPr>
          <w:rFonts w:hint="eastAsia" w:ascii="仿宋" w:hAnsi="仿宋" w:eastAsia="仿宋" w:cs="仿宋"/>
          <w:color w:val="000000" w:themeColor="text1"/>
          <w:sz w:val="32"/>
          <w:szCs w:val="32"/>
          <w:lang w:val="en-US" w:eastAsia="zh-CN"/>
          <w14:textFill>
            <w14:solidFill>
              <w14:schemeClr w14:val="tx1"/>
            </w14:solidFill>
          </w14:textFill>
        </w:rPr>
        <w:t>777.87</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降</w:t>
      </w:r>
      <w:r>
        <w:rPr>
          <w:rFonts w:hint="eastAsia" w:ascii="仿宋" w:hAnsi="仿宋" w:eastAsia="仿宋" w:cs="仿宋"/>
          <w:color w:val="000000" w:themeColor="text1"/>
          <w:sz w:val="32"/>
          <w:szCs w:val="32"/>
          <w14:textFill>
            <w14:solidFill>
              <w14:schemeClr w14:val="tx1"/>
            </w14:solidFill>
          </w14:textFill>
        </w:rPr>
        <w:t>幅</w:t>
      </w:r>
      <w:r>
        <w:rPr>
          <w:rFonts w:hint="eastAsia" w:ascii="仿宋" w:hAnsi="仿宋" w:eastAsia="仿宋" w:cs="仿宋"/>
          <w:color w:val="000000" w:themeColor="text1"/>
          <w:sz w:val="32"/>
          <w:szCs w:val="32"/>
          <w:lang w:val="en-US" w:eastAsia="zh-CN"/>
          <w14:textFill>
            <w14:solidFill>
              <w14:schemeClr w14:val="tx1"/>
            </w14:solidFill>
          </w14:textFill>
        </w:rPr>
        <w:t>31</w:t>
      </w:r>
      <w:r>
        <w:rPr>
          <w:rFonts w:hint="eastAsia" w:ascii="仿宋" w:hAnsi="仿宋" w:eastAsia="仿宋" w:cs="仿宋"/>
          <w:color w:val="000000" w:themeColor="text1"/>
          <w:sz w:val="32"/>
          <w:szCs w:val="32"/>
          <w14:textFill>
            <w14:solidFill>
              <w14:schemeClr w14:val="tx1"/>
            </w14:solidFill>
          </w14:textFill>
        </w:rPr>
        <w:t>%。</w:t>
      </w:r>
    </w:p>
    <w:p>
      <w:pPr>
        <w:ind w:firstLine="646"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本年</w:t>
      </w:r>
      <w:r>
        <w:rPr>
          <w:rFonts w:hint="eastAsia" w:ascii="仿宋" w:hAnsi="仿宋" w:eastAsia="仿宋" w:cs="仿宋"/>
          <w:color w:val="000000" w:themeColor="text1"/>
          <w:sz w:val="32"/>
          <w:szCs w:val="32"/>
          <w14:textFill>
            <w14:solidFill>
              <w14:schemeClr w14:val="tx1"/>
            </w14:solidFill>
          </w14:textFill>
        </w:rPr>
        <w:t>收支预算</w:t>
      </w:r>
      <w:r>
        <w:rPr>
          <w:rFonts w:hint="eastAsia" w:ascii="仿宋" w:hAnsi="仿宋" w:eastAsia="仿宋" w:cs="仿宋"/>
          <w:color w:val="000000" w:themeColor="text1"/>
          <w:sz w:val="32"/>
          <w:szCs w:val="32"/>
          <w:lang w:eastAsia="zh-CN"/>
          <w14:textFill>
            <w14:solidFill>
              <w14:schemeClr w14:val="tx1"/>
            </w14:solidFill>
          </w14:textFill>
        </w:rPr>
        <w:t>变动</w:t>
      </w:r>
      <w:r>
        <w:rPr>
          <w:rFonts w:hint="eastAsia" w:ascii="仿宋" w:hAnsi="仿宋" w:eastAsia="仿宋" w:cs="仿宋"/>
          <w:color w:val="000000" w:themeColor="text1"/>
          <w:sz w:val="32"/>
          <w:szCs w:val="32"/>
          <w14:textFill>
            <w14:solidFill>
              <w14:schemeClr w14:val="tx1"/>
            </w14:solidFill>
          </w14:textFill>
        </w:rPr>
        <w:t>的主要原因</w:t>
      </w:r>
      <w:r>
        <w:rPr>
          <w:rFonts w:hint="eastAsia" w:ascii="仿宋" w:hAnsi="仿宋" w:eastAsia="仿宋" w:cs="仿宋"/>
          <w:color w:val="000000" w:themeColor="text1"/>
          <w:sz w:val="32"/>
          <w:szCs w:val="32"/>
          <w:lang w:eastAsia="zh-CN"/>
          <w14:textFill>
            <w14:solidFill>
              <w14:schemeClr w14:val="tx1"/>
            </w14:solidFill>
          </w14:textFill>
        </w:rPr>
        <w:t>：一是本年发生新招聘员工</w:t>
      </w:r>
      <w:r>
        <w:rPr>
          <w:rFonts w:hint="eastAsia" w:ascii="仿宋" w:hAnsi="仿宋" w:eastAsia="仿宋" w:cs="仿宋"/>
          <w:color w:val="000000" w:themeColor="text1"/>
          <w:sz w:val="32"/>
          <w:szCs w:val="32"/>
          <w:lang w:val="en-US" w:eastAsia="zh-CN"/>
          <w14:textFill>
            <w14:solidFill>
              <w14:schemeClr w14:val="tx1"/>
            </w14:solidFill>
          </w14:textFill>
        </w:rPr>
        <w:t>3名，人员数量发生变动，因此人员经费增加</w:t>
      </w:r>
      <w:r>
        <w:rPr>
          <w:rFonts w:hint="eastAsia" w:ascii="仿宋" w:hAnsi="仿宋" w:eastAsia="仿宋" w:cs="仿宋"/>
          <w:color w:val="000000" w:themeColor="text1"/>
          <w:sz w:val="32"/>
          <w:szCs w:val="32"/>
          <w:lang w:eastAsia="zh-CN"/>
          <w14:textFill>
            <w14:solidFill>
              <w14:schemeClr w14:val="tx1"/>
            </w14:solidFill>
          </w14:textFill>
        </w:rPr>
        <w:t>；二是本年度减少湖北省企业职工社会保险信息系统项目经费，因此项目支出减少。</w:t>
      </w:r>
    </w:p>
    <w:p>
      <w:pPr>
        <w:ind w:firstLine="646"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（二）财政拨款“三公”经费预算变化情况</w:t>
      </w:r>
    </w:p>
    <w:p>
      <w:pPr>
        <w:ind w:firstLine="646"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年财政拨款“三公”经费预算数为</w:t>
      </w:r>
      <w:r>
        <w:rPr>
          <w:rFonts w:hint="eastAsia" w:ascii="仿宋" w:hAnsi="仿宋" w:eastAsia="仿宋" w:cs="仿宋"/>
          <w:color w:val="000000" w:themeColor="text1"/>
          <w:sz w:val="32"/>
          <w:szCs w:val="32"/>
          <w:lang w:val="en-US" w:eastAsia="zh-CN"/>
          <w14:textFill>
            <w14:solidFill>
              <w14:schemeClr w14:val="tx1"/>
            </w14:solidFill>
          </w14:textFill>
        </w:rPr>
        <w:t>9.10</w:t>
      </w:r>
      <w:r>
        <w:rPr>
          <w:rFonts w:hint="eastAsia" w:ascii="仿宋" w:hAnsi="仿宋" w:eastAsia="仿宋" w:cs="仿宋"/>
          <w:color w:val="000000" w:themeColor="text1"/>
          <w:sz w:val="32"/>
          <w:szCs w:val="32"/>
          <w14:textFill>
            <w14:solidFill>
              <w14:schemeClr w14:val="tx1"/>
            </w14:solidFill>
          </w14:textFill>
        </w:rPr>
        <w:t>万元，较上年</w:t>
      </w:r>
      <w:r>
        <w:rPr>
          <w:rFonts w:hint="eastAsia" w:ascii="仿宋" w:hAnsi="仿宋" w:eastAsia="仿宋" w:cs="仿宋"/>
          <w:color w:val="000000" w:themeColor="text1"/>
          <w:sz w:val="32"/>
          <w:szCs w:val="32"/>
          <w:lang w:val="en-US" w:eastAsia="zh-CN"/>
          <w14:textFill>
            <w14:solidFill>
              <w14:schemeClr w14:val="tx1"/>
            </w14:solidFill>
          </w14:textFill>
        </w:rPr>
        <w:t>9.60</w:t>
      </w:r>
      <w:r>
        <w:rPr>
          <w:rFonts w:hint="eastAsia" w:ascii="仿宋" w:hAnsi="仿宋" w:eastAsia="仿宋" w:cs="仿宋"/>
          <w:color w:val="000000" w:themeColor="text1"/>
          <w:sz w:val="32"/>
          <w:szCs w:val="32"/>
          <w14:textFill>
            <w14:solidFill>
              <w14:schemeClr w14:val="tx1"/>
            </w14:solidFill>
          </w14:textFill>
        </w:rPr>
        <w:t>万元减少</w:t>
      </w:r>
      <w:r>
        <w:rPr>
          <w:rFonts w:hint="eastAsia" w:ascii="仿宋" w:hAnsi="仿宋" w:eastAsia="仿宋" w:cs="仿宋"/>
          <w:color w:val="000000" w:themeColor="text1"/>
          <w:sz w:val="32"/>
          <w:szCs w:val="32"/>
          <w:lang w:val="en-US" w:eastAsia="zh-CN"/>
          <w14:textFill>
            <w14:solidFill>
              <w14:schemeClr w14:val="tx1"/>
            </w14:solidFill>
          </w14:textFill>
        </w:rPr>
        <w:t>0.5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降</w:t>
      </w:r>
      <w:r>
        <w:rPr>
          <w:rFonts w:hint="eastAsia" w:ascii="仿宋" w:hAnsi="仿宋" w:eastAsia="仿宋" w:cs="仿宋"/>
          <w:color w:val="000000" w:themeColor="text1"/>
          <w:sz w:val="32"/>
          <w:szCs w:val="32"/>
          <w14:textFill>
            <w14:solidFill>
              <w14:schemeClr w14:val="tx1"/>
            </w14:solidFill>
          </w14:textFill>
        </w:rPr>
        <w:t>幅</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%。其中，本年因公出国（境）费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万元；本年公务接待费</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万元，较上年</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万元减少</w:t>
      </w:r>
      <w:r>
        <w:rPr>
          <w:rFonts w:hint="eastAsia" w:ascii="仿宋" w:hAnsi="仿宋" w:eastAsia="仿宋" w:cs="仿宋"/>
          <w:color w:val="000000" w:themeColor="text1"/>
          <w:sz w:val="32"/>
          <w:szCs w:val="32"/>
          <w:lang w:val="en-US" w:eastAsia="zh-CN"/>
          <w14:textFill>
            <w14:solidFill>
              <w14:schemeClr w14:val="tx1"/>
            </w14:solidFill>
          </w14:textFill>
        </w:rPr>
        <w:t>0.1</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降</w:t>
      </w:r>
      <w:r>
        <w:rPr>
          <w:rFonts w:hint="eastAsia" w:ascii="仿宋" w:hAnsi="仿宋" w:eastAsia="仿宋" w:cs="仿宋"/>
          <w:color w:val="000000" w:themeColor="text1"/>
          <w:sz w:val="32"/>
          <w:szCs w:val="32"/>
          <w14:textFill>
            <w14:solidFill>
              <w14:schemeClr w14:val="tx1"/>
            </w14:solidFill>
          </w14:textFill>
        </w:rPr>
        <w:t>幅</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%；本年公务用车购置及运行维护费（无公车购置）</w:t>
      </w:r>
      <w:r>
        <w:rPr>
          <w:rFonts w:hint="eastAsia" w:ascii="仿宋" w:hAnsi="仿宋" w:eastAsia="仿宋" w:cs="仿宋"/>
          <w:color w:val="000000" w:themeColor="text1"/>
          <w:sz w:val="32"/>
          <w:szCs w:val="32"/>
          <w:lang w:val="en-US" w:eastAsia="zh-CN"/>
          <w14:textFill>
            <w14:solidFill>
              <w14:schemeClr w14:val="tx1"/>
            </w14:solidFill>
          </w14:textFill>
        </w:rPr>
        <w:t>7.4</w:t>
      </w:r>
      <w:r>
        <w:rPr>
          <w:rFonts w:hint="eastAsia" w:ascii="仿宋" w:hAnsi="仿宋" w:eastAsia="仿宋" w:cs="仿宋"/>
          <w:color w:val="000000" w:themeColor="text1"/>
          <w:sz w:val="32"/>
          <w:szCs w:val="32"/>
          <w14:textFill>
            <w14:solidFill>
              <w14:schemeClr w14:val="tx1"/>
            </w14:solidFill>
          </w14:textFill>
        </w:rPr>
        <w:t>万元，较上年</w:t>
      </w:r>
      <w:r>
        <w:rPr>
          <w:rFonts w:hint="eastAsia" w:ascii="仿宋" w:hAnsi="仿宋" w:eastAsia="仿宋" w:cs="仿宋"/>
          <w:color w:val="000000" w:themeColor="text1"/>
          <w:sz w:val="32"/>
          <w:szCs w:val="32"/>
          <w:lang w:val="en-US" w:eastAsia="zh-CN"/>
          <w14:textFill>
            <w14:solidFill>
              <w14:schemeClr w14:val="tx1"/>
            </w14:solidFill>
          </w14:textFill>
        </w:rPr>
        <w:t>7.8</w:t>
      </w:r>
      <w:r>
        <w:rPr>
          <w:rFonts w:hint="eastAsia" w:ascii="仿宋" w:hAnsi="仿宋" w:eastAsia="仿宋" w:cs="仿宋"/>
          <w:color w:val="000000" w:themeColor="text1"/>
          <w:sz w:val="32"/>
          <w:szCs w:val="32"/>
          <w14:textFill>
            <w14:solidFill>
              <w14:schemeClr w14:val="tx1"/>
            </w14:solidFill>
          </w14:textFill>
        </w:rPr>
        <w:t>万元减少</w:t>
      </w:r>
      <w:r>
        <w:rPr>
          <w:rFonts w:hint="eastAsia" w:ascii="仿宋" w:hAnsi="仿宋" w:eastAsia="仿宋" w:cs="仿宋"/>
          <w:color w:val="000000" w:themeColor="text1"/>
          <w:sz w:val="32"/>
          <w:szCs w:val="32"/>
          <w:lang w:val="en-US" w:eastAsia="zh-CN"/>
          <w14:textFill>
            <w14:solidFill>
              <w14:schemeClr w14:val="tx1"/>
            </w14:solidFill>
          </w14:textFill>
        </w:rPr>
        <w:t>0.4</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降</w:t>
      </w:r>
      <w:r>
        <w:rPr>
          <w:rFonts w:hint="eastAsia" w:ascii="仿宋" w:hAnsi="仿宋" w:eastAsia="仿宋" w:cs="仿宋"/>
          <w:color w:val="000000" w:themeColor="text1"/>
          <w:sz w:val="32"/>
          <w:szCs w:val="32"/>
          <w14:textFill>
            <w14:solidFill>
              <w14:schemeClr w14:val="tx1"/>
            </w14:solidFill>
          </w14:textFill>
        </w:rPr>
        <w:t>幅</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%。“三公”经费预算下降的主要原因</w:t>
      </w:r>
      <w:r>
        <w:rPr>
          <w:rFonts w:hint="eastAsia" w:ascii="仿宋" w:hAnsi="仿宋" w:eastAsia="仿宋" w:cs="仿宋"/>
          <w:color w:val="000000" w:themeColor="text1"/>
          <w:sz w:val="32"/>
          <w:szCs w:val="32"/>
          <w:lang w:eastAsia="zh-CN"/>
          <w14:textFill>
            <w14:solidFill>
              <w14:schemeClr w14:val="tx1"/>
            </w14:solidFill>
          </w14:textFill>
        </w:rPr>
        <w:t>：合理压缩一般性支出，严格控制“三公”经费支出。</w:t>
      </w:r>
    </w:p>
    <w:p>
      <w:pPr>
        <w:ind w:firstLine="646" w:firstLineChars="2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（三）政府性基金情况</w:t>
      </w:r>
    </w:p>
    <w:p>
      <w:pPr>
        <w:ind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本年无政府性基金预算支出</w:t>
      </w:r>
    </w:p>
    <w:p>
      <w:pPr>
        <w:ind w:firstLine="646" w:firstLineChars="200"/>
        <w:rPr>
          <w:rFonts w:hint="eastAsia" w:ascii="黑体" w:hAnsi="Times" w:eastAsia="黑体" w:cs="黑体"/>
          <w:bCs/>
          <w:color w:val="000000" w:themeColor="text1"/>
          <w:sz w:val="32"/>
          <w:szCs w:val="32"/>
          <w14:textFill>
            <w14:solidFill>
              <w14:schemeClr w14:val="tx1"/>
            </w14:solidFill>
          </w14:textFill>
        </w:rPr>
      </w:pPr>
      <w:r>
        <w:rPr>
          <w:rFonts w:hint="eastAsia" w:ascii="黑体" w:hAnsi="Times" w:eastAsia="黑体" w:cs="黑体"/>
          <w:bCs/>
          <w:color w:val="000000" w:themeColor="text1"/>
          <w:sz w:val="32"/>
          <w:szCs w:val="32"/>
          <w:lang w:eastAsia="zh-CN"/>
          <w14:textFill>
            <w14:solidFill>
              <w14:schemeClr w14:val="tx1"/>
            </w14:solidFill>
          </w14:textFill>
        </w:rPr>
        <w:t>三</w:t>
      </w:r>
      <w:r>
        <w:rPr>
          <w:rFonts w:hint="eastAsia" w:ascii="黑体" w:hAnsi="Times" w:eastAsia="黑体" w:cs="黑体"/>
          <w:bCs/>
          <w:color w:val="000000" w:themeColor="text1"/>
          <w:sz w:val="32"/>
          <w:szCs w:val="32"/>
          <w14:textFill>
            <w14:solidFill>
              <w14:schemeClr w14:val="tx1"/>
            </w14:solidFill>
          </w14:textFill>
        </w:rPr>
        <w:t>、机关运行经费安排情况</w:t>
      </w:r>
    </w:p>
    <w:p>
      <w:pPr>
        <w:ind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年运行经费</w:t>
      </w:r>
      <w:r>
        <w:rPr>
          <w:rFonts w:hint="eastAsia" w:ascii="仿宋" w:hAnsi="仿宋" w:eastAsia="仿宋" w:cs="仿宋"/>
          <w:color w:val="000000" w:themeColor="text1"/>
          <w:sz w:val="32"/>
          <w:szCs w:val="32"/>
          <w:lang w:eastAsia="zh-CN"/>
          <w14:textFill>
            <w14:solidFill>
              <w14:schemeClr w14:val="tx1"/>
            </w14:solidFill>
          </w14:textFill>
        </w:rPr>
        <w:t>（日常公用经费安排情况）支出预算</w:t>
      </w:r>
      <w:r>
        <w:rPr>
          <w:rFonts w:hint="eastAsia" w:ascii="仿宋" w:hAnsi="仿宋" w:eastAsia="仿宋" w:cs="仿宋"/>
          <w:color w:val="000000" w:themeColor="text1"/>
          <w:sz w:val="32"/>
          <w:szCs w:val="32"/>
          <w:lang w:val="en-US" w:eastAsia="zh-CN"/>
          <w14:textFill>
            <w14:solidFill>
              <w14:schemeClr w14:val="tx1"/>
            </w14:solidFill>
          </w14:textFill>
        </w:rPr>
        <w:t>106.50</w:t>
      </w:r>
      <w:r>
        <w:rPr>
          <w:rFonts w:hint="eastAsia" w:ascii="仿宋" w:hAnsi="仿宋" w:eastAsia="仿宋" w:cs="仿宋"/>
          <w:color w:val="000000" w:themeColor="text1"/>
          <w:sz w:val="32"/>
          <w:szCs w:val="32"/>
          <w:lang w:eastAsia="zh-CN"/>
          <w14:textFill>
            <w14:solidFill>
              <w14:schemeClr w14:val="tx1"/>
            </w14:solidFill>
          </w14:textFill>
        </w:rPr>
        <w:t>万元，较上年</w:t>
      </w:r>
      <w:r>
        <w:rPr>
          <w:rFonts w:hint="eastAsia" w:ascii="仿宋" w:hAnsi="仿宋" w:eastAsia="仿宋" w:cs="仿宋"/>
          <w:color w:val="000000" w:themeColor="text1"/>
          <w:sz w:val="32"/>
          <w:szCs w:val="32"/>
          <w:lang w:val="en-US" w:eastAsia="zh-CN"/>
          <w14:textFill>
            <w14:solidFill>
              <w14:schemeClr w14:val="tx1"/>
            </w14:solidFill>
          </w14:textFill>
        </w:rPr>
        <w:t>120万元</w:t>
      </w:r>
      <w:r>
        <w:rPr>
          <w:rFonts w:hint="eastAsia" w:ascii="仿宋" w:hAnsi="仿宋" w:eastAsia="仿宋" w:cs="仿宋"/>
          <w:color w:val="000000" w:themeColor="text1"/>
          <w:sz w:val="32"/>
          <w:szCs w:val="32"/>
          <w:lang w:eastAsia="zh-CN"/>
          <w14:textFill>
            <w14:solidFill>
              <w14:schemeClr w14:val="tx1"/>
            </w14:solidFill>
          </w14:textFill>
        </w:rPr>
        <w:t>减少</w:t>
      </w:r>
      <w:r>
        <w:rPr>
          <w:rFonts w:hint="eastAsia" w:ascii="仿宋" w:hAnsi="仿宋" w:eastAsia="仿宋" w:cs="仿宋"/>
          <w:color w:val="000000" w:themeColor="text1"/>
          <w:sz w:val="32"/>
          <w:szCs w:val="32"/>
          <w:lang w:val="en-US" w:eastAsia="zh-CN"/>
          <w14:textFill>
            <w14:solidFill>
              <w14:schemeClr w14:val="tx1"/>
            </w14:solidFill>
          </w14:textFill>
        </w:rPr>
        <w:t>13.5</w:t>
      </w:r>
      <w:r>
        <w:rPr>
          <w:rFonts w:hint="eastAsia" w:ascii="仿宋" w:hAnsi="仿宋" w:eastAsia="仿宋" w:cs="仿宋"/>
          <w:color w:val="000000" w:themeColor="text1"/>
          <w:sz w:val="32"/>
          <w:szCs w:val="32"/>
          <w:lang w:eastAsia="zh-CN"/>
          <w14:textFill>
            <w14:solidFill>
              <w14:schemeClr w14:val="tx1"/>
            </w14:solidFill>
          </w14:textFill>
        </w:rPr>
        <w:t>万元，减幅</w:t>
      </w:r>
      <w:r>
        <w:rPr>
          <w:rFonts w:hint="eastAsia" w:ascii="仿宋" w:hAnsi="仿宋" w:eastAsia="仿宋" w:cs="仿宋"/>
          <w:color w:val="000000" w:themeColor="text1"/>
          <w:sz w:val="32"/>
          <w:szCs w:val="32"/>
          <w:lang w:val="en-US" w:eastAsia="zh-CN"/>
          <w14:textFill>
            <w14:solidFill>
              <w14:schemeClr w14:val="tx1"/>
            </w14:solidFill>
          </w14:textFill>
        </w:rPr>
        <w:t>0.11%，减少的主要原因是压缩一般性支出。其中：办公费10万元，水电费22万元，邮电费5万元，劳务费2万元，委托业务费10万元，公务用车运行维护费7.4万元，差旅费10万元，维修（护）费3万元，会议费4.5万元，公务接待费1.7万元，工会经费9.84万元，福利费7万元，印刷费4万元，其他商品和服务支出8.56万元，办公设备购置费1.5万元。</w:t>
      </w:r>
    </w:p>
    <w:p>
      <w:pPr>
        <w:ind w:firstLine="646" w:firstLineChars="200"/>
        <w:rPr>
          <w:rFonts w:hint="eastAsia" w:ascii="黑体" w:hAnsi="Times" w:eastAsia="黑体" w:cs="黑体"/>
          <w:bCs/>
          <w:color w:val="000000" w:themeColor="text1"/>
          <w:sz w:val="32"/>
          <w:szCs w:val="32"/>
          <w14:textFill>
            <w14:solidFill>
              <w14:schemeClr w14:val="tx1"/>
            </w14:solidFill>
          </w14:textFill>
        </w:rPr>
      </w:pPr>
      <w:r>
        <w:rPr>
          <w:rFonts w:hint="eastAsia" w:ascii="黑体" w:hAnsi="Times" w:eastAsia="黑体" w:cs="黑体"/>
          <w:bCs/>
          <w:color w:val="000000" w:themeColor="text1"/>
          <w:sz w:val="32"/>
          <w:szCs w:val="32"/>
          <w:lang w:eastAsia="zh-CN"/>
          <w14:textFill>
            <w14:solidFill>
              <w14:schemeClr w14:val="tx1"/>
            </w14:solidFill>
          </w14:textFill>
        </w:rPr>
        <w:t>四</w:t>
      </w:r>
      <w:r>
        <w:rPr>
          <w:rFonts w:hint="eastAsia" w:ascii="黑体" w:hAnsi="Times" w:eastAsia="黑体" w:cs="黑体"/>
          <w:bCs/>
          <w:color w:val="000000" w:themeColor="text1"/>
          <w:sz w:val="32"/>
          <w:szCs w:val="32"/>
          <w14:textFill>
            <w14:solidFill>
              <w14:schemeClr w14:val="tx1"/>
            </w14:solidFill>
          </w14:textFill>
        </w:rPr>
        <w:t>、政府采购安排情况</w:t>
      </w:r>
    </w:p>
    <w:p>
      <w:pPr>
        <w:ind w:firstLine="646"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年政府采购预算</w:t>
      </w:r>
      <w:r>
        <w:rPr>
          <w:rFonts w:hint="eastAsia" w:ascii="仿宋" w:hAnsi="仿宋" w:eastAsia="仿宋" w:cs="仿宋"/>
          <w:color w:val="000000" w:themeColor="text1"/>
          <w:sz w:val="32"/>
          <w:szCs w:val="32"/>
          <w:lang w:val="en-US" w:eastAsia="zh-CN"/>
          <w14:textFill>
            <w14:solidFill>
              <w14:schemeClr w14:val="tx1"/>
            </w14:solidFill>
          </w14:textFill>
        </w:rPr>
        <w:t>1601.70</w:t>
      </w:r>
      <w:r>
        <w:rPr>
          <w:rFonts w:hint="eastAsia" w:ascii="仿宋" w:hAnsi="仿宋" w:eastAsia="仿宋" w:cs="仿宋"/>
          <w:color w:val="000000" w:themeColor="text1"/>
          <w:sz w:val="32"/>
          <w:szCs w:val="32"/>
          <w14:textFill>
            <w14:solidFill>
              <w14:schemeClr w14:val="tx1"/>
            </w14:solidFill>
          </w14:textFill>
        </w:rPr>
        <w:t>万元，从经费来源分，一般公共预算财政拨款</w:t>
      </w:r>
      <w:r>
        <w:rPr>
          <w:rFonts w:hint="eastAsia" w:ascii="仿宋" w:hAnsi="仿宋" w:eastAsia="仿宋" w:cs="仿宋"/>
          <w:color w:val="000000" w:themeColor="text1"/>
          <w:sz w:val="32"/>
          <w:szCs w:val="32"/>
          <w:lang w:val="en-US" w:eastAsia="zh-CN"/>
          <w14:textFill>
            <w14:solidFill>
              <w14:schemeClr w14:val="tx1"/>
            </w14:solidFill>
          </w14:textFill>
        </w:rPr>
        <w:t>1601.70</w:t>
      </w:r>
      <w:r>
        <w:rPr>
          <w:rFonts w:hint="eastAsia" w:ascii="仿宋" w:hAnsi="仿宋" w:eastAsia="仿宋" w:cs="仿宋"/>
          <w:color w:val="000000" w:themeColor="text1"/>
          <w:sz w:val="32"/>
          <w:szCs w:val="32"/>
          <w14:textFill>
            <w14:solidFill>
              <w14:schemeClr w14:val="tx1"/>
            </w14:solidFill>
          </w14:textFill>
        </w:rPr>
        <w:t>万元。本年政府采购预算较上年</w:t>
      </w:r>
      <w:r>
        <w:rPr>
          <w:rFonts w:hint="eastAsia" w:ascii="仿宋" w:hAnsi="仿宋" w:eastAsia="仿宋" w:cs="仿宋"/>
          <w:color w:val="000000" w:themeColor="text1"/>
          <w:sz w:val="32"/>
          <w:szCs w:val="32"/>
          <w:lang w:val="en-US" w:eastAsia="zh-CN"/>
          <w14:textFill>
            <w14:solidFill>
              <w14:schemeClr w14:val="tx1"/>
            </w14:solidFill>
          </w14:textFill>
        </w:rPr>
        <w:t>2379.76</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减少</w:t>
      </w:r>
      <w:r>
        <w:rPr>
          <w:rFonts w:hint="eastAsia" w:ascii="仿宋" w:hAnsi="仿宋" w:eastAsia="仿宋" w:cs="仿宋"/>
          <w:color w:val="000000" w:themeColor="text1"/>
          <w:sz w:val="32"/>
          <w:szCs w:val="32"/>
          <w:lang w:val="en-US" w:eastAsia="zh-CN"/>
          <w14:textFill>
            <w14:solidFill>
              <w14:schemeClr w14:val="tx1"/>
            </w14:solidFill>
          </w14:textFill>
        </w:rPr>
        <w:t>778.06万元，减幅32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变动主要原因：本年度减少湖北省企业职工社会保险信息系统项目政府采购预算。</w:t>
      </w:r>
    </w:p>
    <w:p>
      <w:pPr>
        <w:ind w:firstLine="646" w:firstLineChars="200"/>
        <w:rPr>
          <w:rFonts w:hint="eastAsia" w:ascii="黑体" w:hAnsi="Times" w:eastAsia="黑体" w:cs="黑体"/>
          <w:bCs/>
          <w:color w:val="000000" w:themeColor="text1"/>
          <w:sz w:val="32"/>
          <w:szCs w:val="32"/>
          <w14:textFill>
            <w14:solidFill>
              <w14:schemeClr w14:val="tx1"/>
            </w14:solidFill>
          </w14:textFill>
        </w:rPr>
      </w:pPr>
      <w:r>
        <w:rPr>
          <w:rFonts w:hint="eastAsia" w:ascii="黑体" w:hAnsi="Times" w:eastAsia="黑体" w:cs="黑体"/>
          <w:bCs/>
          <w:color w:val="000000" w:themeColor="text1"/>
          <w:sz w:val="32"/>
          <w:szCs w:val="32"/>
          <w:lang w:eastAsia="zh-CN"/>
          <w14:textFill>
            <w14:solidFill>
              <w14:schemeClr w14:val="tx1"/>
            </w14:solidFill>
          </w14:textFill>
        </w:rPr>
        <w:t>五</w:t>
      </w:r>
      <w:r>
        <w:rPr>
          <w:rFonts w:hint="eastAsia" w:ascii="黑体" w:hAnsi="Times" w:eastAsia="黑体" w:cs="黑体"/>
          <w:bCs/>
          <w:color w:val="000000" w:themeColor="text1"/>
          <w:sz w:val="32"/>
          <w:szCs w:val="32"/>
          <w14:textFill>
            <w14:solidFill>
              <w14:schemeClr w14:val="tx1"/>
            </w14:solidFill>
          </w14:textFill>
        </w:rPr>
        <w:t>、国有资产占用情况</w:t>
      </w:r>
    </w:p>
    <w:p>
      <w:pPr>
        <w:ind w:firstLine="64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信息中心</w:t>
      </w:r>
      <w:r>
        <w:rPr>
          <w:rFonts w:hint="eastAsia" w:ascii="仿宋" w:hAnsi="仿宋" w:eastAsia="仿宋" w:cs="仿宋"/>
          <w:color w:val="000000" w:themeColor="text1"/>
          <w:sz w:val="32"/>
          <w:szCs w:val="32"/>
          <w14:textFill>
            <w14:solidFill>
              <w14:schemeClr w14:val="tx1"/>
            </w14:solidFill>
          </w14:textFill>
        </w:rPr>
        <w:t>机动车辆存量</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台。</w:t>
      </w:r>
    </w:p>
    <w:p>
      <w:pPr>
        <w:ind w:firstLine="646" w:firstLineChars="200"/>
        <w:rPr>
          <w:rFonts w:hint="eastAsia" w:ascii="黑体" w:hAnsi="Times" w:eastAsia="黑体" w:cs="黑体"/>
          <w:bCs/>
          <w:color w:val="000000" w:themeColor="text1"/>
          <w:sz w:val="32"/>
          <w:szCs w:val="32"/>
          <w14:textFill>
            <w14:solidFill>
              <w14:schemeClr w14:val="tx1"/>
            </w14:solidFill>
          </w14:textFill>
        </w:rPr>
      </w:pPr>
      <w:r>
        <w:rPr>
          <w:rFonts w:hint="eastAsia" w:ascii="黑体" w:hAnsi="Times" w:eastAsia="黑体" w:cs="黑体"/>
          <w:bCs/>
          <w:color w:val="000000" w:themeColor="text1"/>
          <w:sz w:val="32"/>
          <w:szCs w:val="32"/>
          <w:lang w:eastAsia="zh-CN"/>
          <w14:textFill>
            <w14:solidFill>
              <w14:schemeClr w14:val="tx1"/>
            </w14:solidFill>
          </w14:textFill>
        </w:rPr>
        <w:t>六</w:t>
      </w:r>
      <w:r>
        <w:rPr>
          <w:rFonts w:hint="eastAsia" w:ascii="黑体" w:hAnsi="Times" w:eastAsia="黑体" w:cs="黑体"/>
          <w:bCs/>
          <w:color w:val="000000" w:themeColor="text1"/>
          <w:sz w:val="32"/>
          <w:szCs w:val="32"/>
          <w14:textFill>
            <w14:solidFill>
              <w14:schemeClr w14:val="tx1"/>
            </w14:solidFill>
          </w14:textFill>
        </w:rPr>
        <w:t>、重点项目预算绩效目标情况</w:t>
      </w:r>
    </w:p>
    <w:p>
      <w:pPr>
        <w:ind w:firstLine="646"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信息</w:t>
      </w:r>
      <w:r>
        <w:rPr>
          <w:rFonts w:hint="eastAsia" w:ascii="仿宋" w:hAnsi="仿宋" w:eastAsia="仿宋" w:cs="仿宋"/>
          <w:color w:val="000000" w:themeColor="text1"/>
          <w:sz w:val="32"/>
          <w:szCs w:val="32"/>
          <w:lang w:eastAsia="zh-CN"/>
          <w14:textFill>
            <w14:solidFill>
              <w14:schemeClr w14:val="tx1"/>
            </w14:solidFill>
          </w14:textFill>
        </w:rPr>
        <w:t>中心</w:t>
      </w:r>
      <w:r>
        <w:rPr>
          <w:rFonts w:hint="eastAsia" w:ascii="仿宋" w:hAnsi="仿宋" w:eastAsia="仿宋" w:cs="仿宋"/>
          <w:color w:val="000000" w:themeColor="text1"/>
          <w:sz w:val="32"/>
          <w:szCs w:val="32"/>
          <w:lang w:val="en-US" w:eastAsia="zh-CN"/>
          <w14:textFill>
            <w14:solidFill>
              <w14:schemeClr w14:val="tx1"/>
            </w14:solidFill>
          </w14:textFill>
        </w:rPr>
        <w:t>2021年</w:t>
      </w:r>
      <w:r>
        <w:rPr>
          <w:rFonts w:hint="eastAsia" w:ascii="仿宋" w:hAnsi="仿宋" w:eastAsia="仿宋" w:cs="仿宋"/>
          <w:color w:val="000000" w:themeColor="text1"/>
          <w:sz w:val="32"/>
          <w:szCs w:val="32"/>
          <w14:textFill>
            <w14:solidFill>
              <w14:schemeClr w14:val="tx1"/>
            </w14:solidFill>
          </w14:textFill>
        </w:rPr>
        <w:t>信息化运行维护经费</w:t>
      </w:r>
      <w:r>
        <w:rPr>
          <w:rFonts w:hint="eastAsia" w:ascii="仿宋" w:hAnsi="仿宋" w:eastAsia="仿宋" w:cs="仿宋"/>
          <w:color w:val="000000" w:themeColor="text1"/>
          <w:sz w:val="32"/>
          <w:szCs w:val="32"/>
          <w:lang w:eastAsia="zh-CN"/>
          <w14:textFill>
            <w14:solidFill>
              <w14:schemeClr w14:val="tx1"/>
            </w14:solidFill>
          </w14:textFill>
        </w:rPr>
        <w:t>项目总预算1,001.96万元，项目绩效目标主要包括</w:t>
      </w:r>
      <w:r>
        <w:rPr>
          <w:rFonts w:hint="eastAsia" w:ascii="仿宋" w:hAnsi="仿宋" w:eastAsia="仿宋" w:cs="仿宋"/>
          <w:color w:val="000000" w:themeColor="text1"/>
          <w:sz w:val="32"/>
          <w:szCs w:val="32"/>
          <w:lang w:val="en-US" w:eastAsia="zh-CN"/>
          <w14:textFill>
            <w14:solidFill>
              <w14:schemeClr w14:val="tx1"/>
            </w14:solidFill>
          </w14:textFill>
        </w:rPr>
        <w:t>：构建统一、高效、安全的信息系统应用支撑平台，实现各项业务领域之间、各地区之间的信息共享、业务协同和有效衔接，实现社会保障一卡通；确保联网数据上传，支撑社会保险和基金监督等需要的省级数据库；确保信息系统安全稳定运行；保障</w:t>
      </w:r>
      <w:r>
        <w:rPr>
          <w:rFonts w:hint="eastAsia" w:ascii="仿宋" w:hAnsi="仿宋" w:eastAsia="仿宋" w:cs="仿宋"/>
          <w:color w:val="000000" w:themeColor="text1"/>
          <w:sz w:val="32"/>
          <w:szCs w:val="32"/>
          <w:lang w:eastAsia="zh-CN"/>
          <w14:textFill>
            <w14:solidFill>
              <w14:schemeClr w14:val="tx1"/>
            </w14:solidFill>
          </w14:textFill>
        </w:rPr>
        <w:t>省级12333业务办理和政策咨询服务等。具体绩效目标包括“社保卡制卡人数”、“网络稳定性”、“数据丢失率”、“故障处理响应时间”、“信息系统运行稳定”、“信息安全保障”、“网上办件事项”、“试行综合柜员制数据的市州数量”。</w:t>
      </w:r>
    </w:p>
    <w:p>
      <w:pPr>
        <w:ind w:firstLine="646" w:firstLineChars="200"/>
        <w:rPr>
          <w:rFonts w:hint="eastAsia" w:ascii="黑体" w:hAnsi="Times" w:eastAsia="黑体" w:cs="黑体"/>
          <w:bCs/>
          <w:color w:val="000000" w:themeColor="text1"/>
          <w:sz w:val="32"/>
          <w:szCs w:val="32"/>
          <w14:textFill>
            <w14:solidFill>
              <w14:schemeClr w14:val="tx1"/>
            </w14:solidFill>
          </w14:textFill>
        </w:rPr>
      </w:pPr>
      <w:r>
        <w:rPr>
          <w:rFonts w:hint="eastAsia" w:ascii="黑体" w:hAnsi="Times" w:eastAsia="黑体" w:cs="黑体"/>
          <w:bCs/>
          <w:color w:val="000000" w:themeColor="text1"/>
          <w:sz w:val="32"/>
          <w:szCs w:val="32"/>
          <w:lang w:eastAsia="zh-CN"/>
          <w14:textFill>
            <w14:solidFill>
              <w14:schemeClr w14:val="tx1"/>
            </w14:solidFill>
          </w14:textFill>
        </w:rPr>
        <w:t>七</w:t>
      </w:r>
      <w:r>
        <w:rPr>
          <w:rFonts w:hint="eastAsia" w:ascii="黑体" w:hAnsi="Times" w:eastAsia="黑体" w:cs="黑体"/>
          <w:bCs/>
          <w:color w:val="000000" w:themeColor="text1"/>
          <w:sz w:val="32"/>
          <w:szCs w:val="32"/>
          <w14:textFill>
            <w14:solidFill>
              <w14:schemeClr w14:val="tx1"/>
            </w14:solidFill>
          </w14:textFill>
        </w:rPr>
        <w:t>、名词解释</w:t>
      </w:r>
    </w:p>
    <w:p>
      <w:pPr>
        <w:pStyle w:val="5"/>
        <w:ind w:firstLine="646"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1．财政拨款（补助）收入：指省财政当年拨付的资金。</w:t>
      </w:r>
    </w:p>
    <w:p>
      <w:pPr>
        <w:pStyle w:val="5"/>
        <w:ind w:firstLine="646"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2．其他收入：指除上述“财政拨款收入”等以外的上级交办任务相应安排的资金。</w:t>
      </w:r>
    </w:p>
    <w:p>
      <w:pPr>
        <w:pStyle w:val="5"/>
        <w:ind w:firstLine="646"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3．基本支出：指为保障机构正常运转、完成日常工作任务而发生的人员支出和公用支出。</w:t>
      </w:r>
    </w:p>
    <w:p>
      <w:pPr>
        <w:pStyle w:val="5"/>
        <w:ind w:firstLine="646"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14:textFill>
            <w14:solidFill>
              <w14:schemeClr w14:val="tx1"/>
            </w14:solidFill>
          </w14:textFill>
        </w:rPr>
        <w:t>4．项目支出：指在基本支出之外为完成特定行政任务和事业发展目标所发生的支出。</w:t>
      </w:r>
    </w:p>
    <w:p>
      <w:pPr>
        <w:pStyle w:val="5"/>
        <w:ind w:firstLine="646" w:firstLineChars="200"/>
        <w:jc w:val="both"/>
        <w:rPr>
          <w:rFonts w:hint="eastAsia" w:ascii="仿宋" w:hAnsi="仿宋" w:eastAsia="仿宋" w:cs="仿宋"/>
          <w:color w:val="000000" w:themeColor="text1"/>
          <w:kern w:val="2"/>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32"/>
          <w:lang w:val="en-US" w:eastAsia="zh-CN"/>
          <w14:textFill>
            <w14:solidFill>
              <w14:schemeClr w14:val="tx1"/>
            </w14:solidFill>
          </w14:textFill>
        </w:rPr>
        <w:t>5.机关运行经费：指为保障单位运行使用一般公共预算财政 拨款安排的基本支出中的日常公用经费支出。包括办公费、印刷费、邮电费、差旅费、会议费、福利费、日常维修费、专用材料及一般设备购置费、办公用房水电费、取暖费、物业管理费、公务用车运行维护及其他费用。</w:t>
      </w:r>
    </w:p>
    <w:p>
      <w:pPr>
        <w:pStyle w:val="5"/>
        <w:ind w:firstLine="646" w:firstLineChars="200"/>
        <w:jc w:val="both"/>
        <w:rPr>
          <w:rFonts w:hint="eastAsia" w:ascii="仿宋" w:hAnsi="仿宋" w:eastAsia="仿宋" w:cs="仿宋"/>
          <w:color w:val="000000" w:themeColor="text1"/>
          <w:kern w:val="2"/>
          <w:sz w:val="32"/>
          <w:szCs w:val="32"/>
          <w14:textFill>
            <w14:solidFill>
              <w14:schemeClr w14:val="tx1"/>
            </w14:solidFill>
          </w14:textFill>
        </w:rPr>
      </w:pPr>
      <w:r>
        <w:rPr>
          <w:rFonts w:hint="eastAsia" w:ascii="仿宋" w:hAnsi="仿宋" w:eastAsia="仿宋" w:cs="仿宋"/>
          <w:color w:val="000000" w:themeColor="text1"/>
          <w:kern w:val="2"/>
          <w:sz w:val="32"/>
          <w:szCs w:val="32"/>
          <w:lang w:val="en-US" w:eastAsia="zh-CN"/>
          <w14:textFill>
            <w14:solidFill>
              <w14:schemeClr w14:val="tx1"/>
            </w14:solidFill>
          </w14:textFill>
        </w:rPr>
        <w:t>6</w:t>
      </w:r>
      <w:r>
        <w:rPr>
          <w:rFonts w:hint="eastAsia" w:ascii="仿宋" w:hAnsi="仿宋" w:eastAsia="仿宋" w:cs="仿宋"/>
          <w:color w:val="000000" w:themeColor="text1"/>
          <w:kern w:val="2"/>
          <w:sz w:val="32"/>
          <w:szCs w:val="32"/>
          <w14:textFill>
            <w14:solidFill>
              <w14:schemeClr w14:val="tx1"/>
            </w14:solidFill>
          </w14:textFill>
        </w:rPr>
        <w:t>．“三公”经费：是指用</w:t>
      </w:r>
      <w:r>
        <w:rPr>
          <w:rFonts w:hint="eastAsia" w:ascii="仿宋" w:hAnsi="仿宋" w:eastAsia="仿宋" w:cs="仿宋"/>
          <w:color w:val="000000" w:themeColor="text1"/>
          <w:kern w:val="2"/>
          <w:sz w:val="32"/>
          <w:szCs w:val="32"/>
          <w:lang w:eastAsia="zh-CN"/>
          <w14:textFill>
            <w14:solidFill>
              <w14:schemeClr w14:val="tx1"/>
            </w14:solidFill>
          </w14:textFill>
        </w:rPr>
        <w:t>一般公共预算</w:t>
      </w:r>
      <w:r>
        <w:rPr>
          <w:rFonts w:hint="eastAsia" w:ascii="仿宋" w:hAnsi="仿宋" w:eastAsia="仿宋" w:cs="仿宋"/>
          <w:color w:val="000000" w:themeColor="text1"/>
          <w:kern w:val="2"/>
          <w:sz w:val="32"/>
          <w:szCs w:val="32"/>
          <w14:textFill>
            <w14:solidFill>
              <w14:schemeClr w14:val="tx1"/>
            </w14:solidFill>
          </w14:textFill>
        </w:rPr>
        <w:t>财政拨款安排的因公出国（境）费、公务用车购置及运行维护费、公务接待费。</w:t>
      </w:r>
    </w:p>
    <w:p>
      <w:pPr>
        <w:ind w:firstLine="646" w:firstLineChars="200"/>
        <w:rPr>
          <w:rFonts w:hint="eastAsia" w:ascii="黑体" w:hAnsi="Times" w:eastAsia="黑体" w:cs="黑体"/>
          <w:bCs/>
          <w:color w:val="000000" w:themeColor="text1"/>
          <w:sz w:val="32"/>
          <w:szCs w:val="32"/>
          <w:lang w:val="en-US" w:eastAsia="zh-CN"/>
          <w14:textFill>
            <w14:solidFill>
              <w14:schemeClr w14:val="tx1"/>
            </w14:solidFill>
          </w14:textFill>
        </w:rPr>
      </w:pPr>
      <w:r>
        <w:rPr>
          <w:rFonts w:hint="eastAsia" w:ascii="黑体" w:hAnsi="Times" w:eastAsia="黑体" w:cs="黑体"/>
          <w:bCs/>
          <w:color w:val="000000" w:themeColor="text1"/>
          <w:sz w:val="32"/>
          <w:szCs w:val="32"/>
          <w:lang w:eastAsia="zh-CN"/>
          <w14:textFill>
            <w14:solidFill>
              <w14:schemeClr w14:val="tx1"/>
            </w14:solidFill>
          </w14:textFill>
        </w:rPr>
        <w:t>八、</w:t>
      </w:r>
      <w:r>
        <w:rPr>
          <w:rFonts w:hint="eastAsia" w:ascii="黑体" w:hAnsi="Times" w:eastAsia="黑体" w:cs="黑体"/>
          <w:bCs/>
          <w:color w:val="000000" w:themeColor="text1"/>
          <w:sz w:val="32"/>
          <w:szCs w:val="32"/>
          <w:lang w:val="en-US" w:eastAsia="zh-CN"/>
          <w14:textFill>
            <w14:solidFill>
              <w14:schemeClr w14:val="tx1"/>
            </w14:solidFill>
          </w14:textFill>
        </w:rPr>
        <w:t>2021年部门预算公开用表</w:t>
      </w:r>
    </w:p>
    <w:p>
      <w:pPr>
        <w:pStyle w:val="5"/>
        <w:ind w:firstLine="646" w:firstLineChars="200"/>
        <w:jc w:val="both"/>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附表：2021年部门预算公开用表</w:t>
      </w:r>
    </w:p>
    <w:p>
      <w:pPr>
        <w:pStyle w:val="5"/>
        <w:jc w:val="both"/>
        <w:rPr>
          <w:rFonts w:hint="eastAsia" w:ascii="仿宋" w:hAnsi="仿宋" w:eastAsia="仿宋" w:cs="仿宋"/>
          <w:color w:val="00B050"/>
          <w:kern w:val="2"/>
          <w:sz w:val="32"/>
          <w:szCs w:val="32"/>
        </w:rPr>
      </w:pPr>
      <w:bookmarkStart w:id="0" w:name="_GoBack"/>
      <w:bookmarkEnd w:id="0"/>
    </w:p>
    <w:sectPr>
      <w:footerReference r:id="rId3" w:type="default"/>
      <w:footerReference r:id="rId4" w:type="even"/>
      <w:pgSz w:w="11906" w:h="16838"/>
      <w:pgMar w:top="1985" w:right="1701" w:bottom="1985" w:left="1701" w:header="851" w:footer="158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00" w:leftChars="100" w:right="300" w:rightChars="100"/>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26</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82DF"/>
    <w:multiLevelType w:val="singleLevel"/>
    <w:tmpl w:val="1F3582DF"/>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2"/>
  <w:drawingGridVerticalSpacing w:val="292"/>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FA6"/>
    <w:rsid w:val="0007250E"/>
    <w:rsid w:val="000A7DBC"/>
    <w:rsid w:val="001162B0"/>
    <w:rsid w:val="00116CE7"/>
    <w:rsid w:val="00123BA7"/>
    <w:rsid w:val="001361CB"/>
    <w:rsid w:val="001E3165"/>
    <w:rsid w:val="001F1259"/>
    <w:rsid w:val="001F6804"/>
    <w:rsid w:val="002438D9"/>
    <w:rsid w:val="002458E5"/>
    <w:rsid w:val="0025402E"/>
    <w:rsid w:val="0028733A"/>
    <w:rsid w:val="002929A3"/>
    <w:rsid w:val="002D3F9E"/>
    <w:rsid w:val="002E5A35"/>
    <w:rsid w:val="00323FDC"/>
    <w:rsid w:val="003301DB"/>
    <w:rsid w:val="00360500"/>
    <w:rsid w:val="00395435"/>
    <w:rsid w:val="003E1797"/>
    <w:rsid w:val="0044142A"/>
    <w:rsid w:val="00441B65"/>
    <w:rsid w:val="0044241F"/>
    <w:rsid w:val="0045335B"/>
    <w:rsid w:val="004960FB"/>
    <w:rsid w:val="004C0F8E"/>
    <w:rsid w:val="004D0DBB"/>
    <w:rsid w:val="004D63FF"/>
    <w:rsid w:val="004E5A87"/>
    <w:rsid w:val="004F6732"/>
    <w:rsid w:val="00516D95"/>
    <w:rsid w:val="00572851"/>
    <w:rsid w:val="00596A18"/>
    <w:rsid w:val="00597D82"/>
    <w:rsid w:val="005A7AB4"/>
    <w:rsid w:val="005D5275"/>
    <w:rsid w:val="005E1C9B"/>
    <w:rsid w:val="005E6D56"/>
    <w:rsid w:val="006127A6"/>
    <w:rsid w:val="006152F6"/>
    <w:rsid w:val="00661CD9"/>
    <w:rsid w:val="00677DEC"/>
    <w:rsid w:val="006A02A6"/>
    <w:rsid w:val="006A5462"/>
    <w:rsid w:val="006C1BC7"/>
    <w:rsid w:val="00756B91"/>
    <w:rsid w:val="00790572"/>
    <w:rsid w:val="007C510C"/>
    <w:rsid w:val="007D1707"/>
    <w:rsid w:val="00805CCC"/>
    <w:rsid w:val="00844260"/>
    <w:rsid w:val="00845ED7"/>
    <w:rsid w:val="00853E01"/>
    <w:rsid w:val="008712C5"/>
    <w:rsid w:val="00892442"/>
    <w:rsid w:val="00897489"/>
    <w:rsid w:val="008B3EC2"/>
    <w:rsid w:val="008D7DD1"/>
    <w:rsid w:val="008E68A3"/>
    <w:rsid w:val="009030B4"/>
    <w:rsid w:val="00975414"/>
    <w:rsid w:val="00A02A6C"/>
    <w:rsid w:val="00A034C0"/>
    <w:rsid w:val="00A47025"/>
    <w:rsid w:val="00A62909"/>
    <w:rsid w:val="00A67336"/>
    <w:rsid w:val="00AC21B7"/>
    <w:rsid w:val="00B07EE2"/>
    <w:rsid w:val="00B33463"/>
    <w:rsid w:val="00B37A9F"/>
    <w:rsid w:val="00B40E30"/>
    <w:rsid w:val="00B50B78"/>
    <w:rsid w:val="00B6353D"/>
    <w:rsid w:val="00B81027"/>
    <w:rsid w:val="00BB58CD"/>
    <w:rsid w:val="00BF4574"/>
    <w:rsid w:val="00C1120B"/>
    <w:rsid w:val="00C279FA"/>
    <w:rsid w:val="00C5355B"/>
    <w:rsid w:val="00C71F57"/>
    <w:rsid w:val="00C811B4"/>
    <w:rsid w:val="00C87C8A"/>
    <w:rsid w:val="00CA6769"/>
    <w:rsid w:val="00CB2E50"/>
    <w:rsid w:val="00CF0CDD"/>
    <w:rsid w:val="00D3583B"/>
    <w:rsid w:val="00D46CF6"/>
    <w:rsid w:val="00D86E66"/>
    <w:rsid w:val="00DF309C"/>
    <w:rsid w:val="00DF6054"/>
    <w:rsid w:val="00E06917"/>
    <w:rsid w:val="00E23F66"/>
    <w:rsid w:val="00E423CB"/>
    <w:rsid w:val="00E42EA5"/>
    <w:rsid w:val="00E638A7"/>
    <w:rsid w:val="00E809DA"/>
    <w:rsid w:val="00E84C31"/>
    <w:rsid w:val="00EA485B"/>
    <w:rsid w:val="00EB1DCB"/>
    <w:rsid w:val="00EB537E"/>
    <w:rsid w:val="00EB569F"/>
    <w:rsid w:val="00ED141D"/>
    <w:rsid w:val="00F0672F"/>
    <w:rsid w:val="00F50BA1"/>
    <w:rsid w:val="00F67ECB"/>
    <w:rsid w:val="00F73BE8"/>
    <w:rsid w:val="00F817C3"/>
    <w:rsid w:val="00FA7066"/>
    <w:rsid w:val="00FB0346"/>
    <w:rsid w:val="00FF5BAD"/>
    <w:rsid w:val="020A7B0A"/>
    <w:rsid w:val="024B393C"/>
    <w:rsid w:val="027C3C35"/>
    <w:rsid w:val="0346181B"/>
    <w:rsid w:val="034E462E"/>
    <w:rsid w:val="03F40357"/>
    <w:rsid w:val="04AA697D"/>
    <w:rsid w:val="04AE55BA"/>
    <w:rsid w:val="04F860E4"/>
    <w:rsid w:val="05AA7CDA"/>
    <w:rsid w:val="05B076B4"/>
    <w:rsid w:val="05E16024"/>
    <w:rsid w:val="068F600B"/>
    <w:rsid w:val="06D64C41"/>
    <w:rsid w:val="078900EE"/>
    <w:rsid w:val="07F07350"/>
    <w:rsid w:val="080043A0"/>
    <w:rsid w:val="080E687F"/>
    <w:rsid w:val="08AA4053"/>
    <w:rsid w:val="08C93F17"/>
    <w:rsid w:val="08D1193C"/>
    <w:rsid w:val="0968631B"/>
    <w:rsid w:val="0A3405C6"/>
    <w:rsid w:val="0AFA4F6A"/>
    <w:rsid w:val="0B072F2E"/>
    <w:rsid w:val="0B1C4CD4"/>
    <w:rsid w:val="0B225603"/>
    <w:rsid w:val="0B3A66EF"/>
    <w:rsid w:val="0BF905EE"/>
    <w:rsid w:val="0CD82112"/>
    <w:rsid w:val="0CE15EF9"/>
    <w:rsid w:val="0CF6459D"/>
    <w:rsid w:val="0E610E7D"/>
    <w:rsid w:val="0E94333D"/>
    <w:rsid w:val="0EF73997"/>
    <w:rsid w:val="10212C6E"/>
    <w:rsid w:val="119C4352"/>
    <w:rsid w:val="11AD50DC"/>
    <w:rsid w:val="11AE75CE"/>
    <w:rsid w:val="11F45FDF"/>
    <w:rsid w:val="130A3636"/>
    <w:rsid w:val="13143E31"/>
    <w:rsid w:val="14513CFA"/>
    <w:rsid w:val="14570ED7"/>
    <w:rsid w:val="14F5348C"/>
    <w:rsid w:val="15181897"/>
    <w:rsid w:val="156A6E89"/>
    <w:rsid w:val="157639FF"/>
    <w:rsid w:val="1628444D"/>
    <w:rsid w:val="16B31B11"/>
    <w:rsid w:val="16BA5F5F"/>
    <w:rsid w:val="1711719D"/>
    <w:rsid w:val="171E3568"/>
    <w:rsid w:val="17B02039"/>
    <w:rsid w:val="17CE4B6B"/>
    <w:rsid w:val="185E7D02"/>
    <w:rsid w:val="192317DB"/>
    <w:rsid w:val="19392FC4"/>
    <w:rsid w:val="193F74A7"/>
    <w:rsid w:val="1A221021"/>
    <w:rsid w:val="1A222AF1"/>
    <w:rsid w:val="1A916F51"/>
    <w:rsid w:val="1B3A7E7D"/>
    <w:rsid w:val="1B4D5405"/>
    <w:rsid w:val="1B6C2501"/>
    <w:rsid w:val="1BE56027"/>
    <w:rsid w:val="1C7B6C47"/>
    <w:rsid w:val="1D4F117B"/>
    <w:rsid w:val="1D834C84"/>
    <w:rsid w:val="1DCB507D"/>
    <w:rsid w:val="1E5550D3"/>
    <w:rsid w:val="1E6778BE"/>
    <w:rsid w:val="1EA00DB9"/>
    <w:rsid w:val="1EA61302"/>
    <w:rsid w:val="1EC87491"/>
    <w:rsid w:val="1EF242C3"/>
    <w:rsid w:val="1F3B5615"/>
    <w:rsid w:val="1F7C2E55"/>
    <w:rsid w:val="1FE001D7"/>
    <w:rsid w:val="20356F0B"/>
    <w:rsid w:val="206324CB"/>
    <w:rsid w:val="20C313C6"/>
    <w:rsid w:val="211B41B7"/>
    <w:rsid w:val="217F41D4"/>
    <w:rsid w:val="21B42BC6"/>
    <w:rsid w:val="230A79D1"/>
    <w:rsid w:val="233E6AC6"/>
    <w:rsid w:val="2352748C"/>
    <w:rsid w:val="23837048"/>
    <w:rsid w:val="24350FBB"/>
    <w:rsid w:val="24A1752F"/>
    <w:rsid w:val="24D163FE"/>
    <w:rsid w:val="250C7013"/>
    <w:rsid w:val="25225D92"/>
    <w:rsid w:val="255546D6"/>
    <w:rsid w:val="25883B09"/>
    <w:rsid w:val="25C15B94"/>
    <w:rsid w:val="260A1904"/>
    <w:rsid w:val="26466546"/>
    <w:rsid w:val="26CB0856"/>
    <w:rsid w:val="277A4323"/>
    <w:rsid w:val="277B0BB8"/>
    <w:rsid w:val="27D047CE"/>
    <w:rsid w:val="27E07F57"/>
    <w:rsid w:val="28321448"/>
    <w:rsid w:val="2847105C"/>
    <w:rsid w:val="285C7276"/>
    <w:rsid w:val="28CA674B"/>
    <w:rsid w:val="2A064464"/>
    <w:rsid w:val="2A8B067D"/>
    <w:rsid w:val="2AC11CD5"/>
    <w:rsid w:val="2AE332E2"/>
    <w:rsid w:val="2B100636"/>
    <w:rsid w:val="2B4D3F4D"/>
    <w:rsid w:val="2B897CAE"/>
    <w:rsid w:val="2C136BC2"/>
    <w:rsid w:val="2C2F08AC"/>
    <w:rsid w:val="2C315675"/>
    <w:rsid w:val="2C81012B"/>
    <w:rsid w:val="2C84221B"/>
    <w:rsid w:val="2C9101C2"/>
    <w:rsid w:val="2CBC3683"/>
    <w:rsid w:val="2D102378"/>
    <w:rsid w:val="2E1E73F7"/>
    <w:rsid w:val="2E30628F"/>
    <w:rsid w:val="2E5465E5"/>
    <w:rsid w:val="2E5B5C2A"/>
    <w:rsid w:val="2ED669A6"/>
    <w:rsid w:val="2FF206A7"/>
    <w:rsid w:val="2FFD4714"/>
    <w:rsid w:val="304D10AA"/>
    <w:rsid w:val="30913F21"/>
    <w:rsid w:val="30D407E4"/>
    <w:rsid w:val="30DB461E"/>
    <w:rsid w:val="311620F0"/>
    <w:rsid w:val="316452E7"/>
    <w:rsid w:val="317E7C7B"/>
    <w:rsid w:val="31852EB5"/>
    <w:rsid w:val="31D35D28"/>
    <w:rsid w:val="32466536"/>
    <w:rsid w:val="327E6227"/>
    <w:rsid w:val="32995542"/>
    <w:rsid w:val="330D192E"/>
    <w:rsid w:val="33392F08"/>
    <w:rsid w:val="33C34391"/>
    <w:rsid w:val="33D60966"/>
    <w:rsid w:val="33F562A8"/>
    <w:rsid w:val="340F7FEA"/>
    <w:rsid w:val="348600FC"/>
    <w:rsid w:val="35004023"/>
    <w:rsid w:val="35600AA9"/>
    <w:rsid w:val="361E69D9"/>
    <w:rsid w:val="362C4EBA"/>
    <w:rsid w:val="37203EA5"/>
    <w:rsid w:val="37560866"/>
    <w:rsid w:val="375E76FA"/>
    <w:rsid w:val="37A647F0"/>
    <w:rsid w:val="37AE27CD"/>
    <w:rsid w:val="37D16230"/>
    <w:rsid w:val="38376BC6"/>
    <w:rsid w:val="383C6CBE"/>
    <w:rsid w:val="38F259C9"/>
    <w:rsid w:val="39362768"/>
    <w:rsid w:val="39425B37"/>
    <w:rsid w:val="39F87014"/>
    <w:rsid w:val="3A661381"/>
    <w:rsid w:val="3AF3503C"/>
    <w:rsid w:val="3B630C3D"/>
    <w:rsid w:val="3B65596D"/>
    <w:rsid w:val="3B6F34E3"/>
    <w:rsid w:val="3B797DA4"/>
    <w:rsid w:val="3D1179D2"/>
    <w:rsid w:val="3D231305"/>
    <w:rsid w:val="3D81636D"/>
    <w:rsid w:val="3DB77D1D"/>
    <w:rsid w:val="3DF579D8"/>
    <w:rsid w:val="3DFF6963"/>
    <w:rsid w:val="3E3D61EA"/>
    <w:rsid w:val="3E826346"/>
    <w:rsid w:val="3EF33161"/>
    <w:rsid w:val="3EF83B90"/>
    <w:rsid w:val="3FCB7C23"/>
    <w:rsid w:val="4031670C"/>
    <w:rsid w:val="410B2872"/>
    <w:rsid w:val="41333A79"/>
    <w:rsid w:val="41500E4F"/>
    <w:rsid w:val="41AA016A"/>
    <w:rsid w:val="42592A40"/>
    <w:rsid w:val="426F466F"/>
    <w:rsid w:val="429D12D7"/>
    <w:rsid w:val="42A332A5"/>
    <w:rsid w:val="435F3591"/>
    <w:rsid w:val="43C35419"/>
    <w:rsid w:val="44353AC6"/>
    <w:rsid w:val="443F657C"/>
    <w:rsid w:val="44B25BEB"/>
    <w:rsid w:val="44E56129"/>
    <w:rsid w:val="44EC13AB"/>
    <w:rsid w:val="453A2C11"/>
    <w:rsid w:val="461C5D63"/>
    <w:rsid w:val="46382338"/>
    <w:rsid w:val="464033D8"/>
    <w:rsid w:val="46B57AF3"/>
    <w:rsid w:val="47ED5FF7"/>
    <w:rsid w:val="480B7F00"/>
    <w:rsid w:val="48232336"/>
    <w:rsid w:val="48BC2E0D"/>
    <w:rsid w:val="48FD75C9"/>
    <w:rsid w:val="4957162E"/>
    <w:rsid w:val="4A1D38FA"/>
    <w:rsid w:val="4A285325"/>
    <w:rsid w:val="4AC73112"/>
    <w:rsid w:val="4B2A15C7"/>
    <w:rsid w:val="4B661708"/>
    <w:rsid w:val="4B6A6F4D"/>
    <w:rsid w:val="4B6C751A"/>
    <w:rsid w:val="4BF32593"/>
    <w:rsid w:val="4C220126"/>
    <w:rsid w:val="4C246736"/>
    <w:rsid w:val="4C2A6987"/>
    <w:rsid w:val="4C37003C"/>
    <w:rsid w:val="4CF14A6C"/>
    <w:rsid w:val="4D7F2B01"/>
    <w:rsid w:val="4DD06CC0"/>
    <w:rsid w:val="4DE82961"/>
    <w:rsid w:val="4E267996"/>
    <w:rsid w:val="4E28151B"/>
    <w:rsid w:val="4E734D78"/>
    <w:rsid w:val="4EA9021B"/>
    <w:rsid w:val="4EE61098"/>
    <w:rsid w:val="4EFD1CB6"/>
    <w:rsid w:val="50A632B7"/>
    <w:rsid w:val="50C51CBE"/>
    <w:rsid w:val="50F4366B"/>
    <w:rsid w:val="51AE708C"/>
    <w:rsid w:val="51D716E7"/>
    <w:rsid w:val="51E10D49"/>
    <w:rsid w:val="5243339D"/>
    <w:rsid w:val="526F5E19"/>
    <w:rsid w:val="529A3032"/>
    <w:rsid w:val="531A511F"/>
    <w:rsid w:val="53C107AD"/>
    <w:rsid w:val="5420518B"/>
    <w:rsid w:val="5434018E"/>
    <w:rsid w:val="56347CCB"/>
    <w:rsid w:val="56514EBC"/>
    <w:rsid w:val="56571563"/>
    <w:rsid w:val="56821DFC"/>
    <w:rsid w:val="56896D93"/>
    <w:rsid w:val="569D356A"/>
    <w:rsid w:val="56B27B08"/>
    <w:rsid w:val="575C67C8"/>
    <w:rsid w:val="57976A28"/>
    <w:rsid w:val="57B6506B"/>
    <w:rsid w:val="58815CBD"/>
    <w:rsid w:val="58882398"/>
    <w:rsid w:val="58D842A9"/>
    <w:rsid w:val="58F96E77"/>
    <w:rsid w:val="599E4BCC"/>
    <w:rsid w:val="59F30596"/>
    <w:rsid w:val="59FB47B9"/>
    <w:rsid w:val="5A216F2C"/>
    <w:rsid w:val="5A6D5D85"/>
    <w:rsid w:val="5ACB1E34"/>
    <w:rsid w:val="5B1D34D3"/>
    <w:rsid w:val="5B4A20A9"/>
    <w:rsid w:val="5C480922"/>
    <w:rsid w:val="5C556D8A"/>
    <w:rsid w:val="5CC369C6"/>
    <w:rsid w:val="5D407A75"/>
    <w:rsid w:val="5D722EA7"/>
    <w:rsid w:val="5DF34BC6"/>
    <w:rsid w:val="5DF55108"/>
    <w:rsid w:val="5E6E1FDE"/>
    <w:rsid w:val="5EA161A3"/>
    <w:rsid w:val="5EE65914"/>
    <w:rsid w:val="5FAE00D2"/>
    <w:rsid w:val="5FDA00FB"/>
    <w:rsid w:val="60631FAA"/>
    <w:rsid w:val="60874C6B"/>
    <w:rsid w:val="60A81F46"/>
    <w:rsid w:val="60D85E0F"/>
    <w:rsid w:val="612A246B"/>
    <w:rsid w:val="61312E5D"/>
    <w:rsid w:val="61353E5F"/>
    <w:rsid w:val="615A7526"/>
    <w:rsid w:val="615D25F8"/>
    <w:rsid w:val="619F5B97"/>
    <w:rsid w:val="61CB6A75"/>
    <w:rsid w:val="620C32F6"/>
    <w:rsid w:val="62407B50"/>
    <w:rsid w:val="62877D16"/>
    <w:rsid w:val="634218C4"/>
    <w:rsid w:val="634611C0"/>
    <w:rsid w:val="642D6FF9"/>
    <w:rsid w:val="65373F40"/>
    <w:rsid w:val="654A0B5A"/>
    <w:rsid w:val="657A2154"/>
    <w:rsid w:val="659D3A44"/>
    <w:rsid w:val="65E409A0"/>
    <w:rsid w:val="665B3A58"/>
    <w:rsid w:val="668C4686"/>
    <w:rsid w:val="669367D6"/>
    <w:rsid w:val="66B746C3"/>
    <w:rsid w:val="67903894"/>
    <w:rsid w:val="6799342C"/>
    <w:rsid w:val="67D20B1B"/>
    <w:rsid w:val="6857377C"/>
    <w:rsid w:val="68AB31DC"/>
    <w:rsid w:val="69647020"/>
    <w:rsid w:val="6A364BE1"/>
    <w:rsid w:val="6B445A1B"/>
    <w:rsid w:val="6BA9587C"/>
    <w:rsid w:val="6BB92BB6"/>
    <w:rsid w:val="6C44519D"/>
    <w:rsid w:val="6CE125B2"/>
    <w:rsid w:val="6CF86118"/>
    <w:rsid w:val="6D065B5B"/>
    <w:rsid w:val="6D7274D5"/>
    <w:rsid w:val="6D9E395D"/>
    <w:rsid w:val="6DB64D08"/>
    <w:rsid w:val="6DBB501B"/>
    <w:rsid w:val="6DCF6D1E"/>
    <w:rsid w:val="6DED0D1D"/>
    <w:rsid w:val="6F103A1D"/>
    <w:rsid w:val="6F2F0F48"/>
    <w:rsid w:val="6F320E62"/>
    <w:rsid w:val="70B57D94"/>
    <w:rsid w:val="70C74DDF"/>
    <w:rsid w:val="70D277EC"/>
    <w:rsid w:val="70F07BBF"/>
    <w:rsid w:val="71023E42"/>
    <w:rsid w:val="714829BE"/>
    <w:rsid w:val="71A934D8"/>
    <w:rsid w:val="71D17306"/>
    <w:rsid w:val="71D87085"/>
    <w:rsid w:val="72511ECA"/>
    <w:rsid w:val="72525072"/>
    <w:rsid w:val="729E4D5D"/>
    <w:rsid w:val="72E3109C"/>
    <w:rsid w:val="736D4ABA"/>
    <w:rsid w:val="73E00ECB"/>
    <w:rsid w:val="74714754"/>
    <w:rsid w:val="74772066"/>
    <w:rsid w:val="754A6AB4"/>
    <w:rsid w:val="75694BE8"/>
    <w:rsid w:val="75701FB4"/>
    <w:rsid w:val="7621174B"/>
    <w:rsid w:val="762C2F54"/>
    <w:rsid w:val="77063487"/>
    <w:rsid w:val="7738360E"/>
    <w:rsid w:val="77594326"/>
    <w:rsid w:val="77AB31E8"/>
    <w:rsid w:val="787B499B"/>
    <w:rsid w:val="78CA24B9"/>
    <w:rsid w:val="79183669"/>
    <w:rsid w:val="7A3825A9"/>
    <w:rsid w:val="7A5705EF"/>
    <w:rsid w:val="7ADD785D"/>
    <w:rsid w:val="7AEF30AB"/>
    <w:rsid w:val="7BEE4C4A"/>
    <w:rsid w:val="7BFA062F"/>
    <w:rsid w:val="7BFB2F98"/>
    <w:rsid w:val="7CA44CA5"/>
    <w:rsid w:val="7CAF3E57"/>
    <w:rsid w:val="7E5E675C"/>
    <w:rsid w:val="7E693132"/>
    <w:rsid w:val="7ED64319"/>
    <w:rsid w:val="7EE71BF1"/>
    <w:rsid w:val="7F393B6E"/>
    <w:rsid w:val="7FA325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6">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Body Text Indent 3"/>
    <w:basedOn w:val="1"/>
    <w:link w:val="17"/>
    <w:qFormat/>
    <w:uiPriority w:val="99"/>
    <w:pPr>
      <w:ind w:left="239" w:leftChars="114" w:firstLine="600" w:firstLineChars="200"/>
    </w:pPr>
    <w:rPr>
      <w:rFonts w:ascii="??_GB2312" w:hAnsi="宋体" w:eastAsia="Times New Roman"/>
      <w:color w:val="FF0000"/>
    </w:rPr>
  </w:style>
  <w:style w:type="paragraph" w:styleId="5">
    <w:name w:val="Normal (Web)"/>
    <w:basedOn w:val="1"/>
    <w:qFormat/>
    <w:uiPriority w:val="99"/>
    <w:pPr>
      <w:jc w:val="left"/>
    </w:pPr>
    <w:rPr>
      <w:kern w:val="0"/>
      <w:sz w:val="24"/>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555555"/>
      <w:u w:val="none"/>
    </w:rPr>
  </w:style>
  <w:style w:type="character" w:styleId="9">
    <w:name w:val="Emphasis"/>
    <w:basedOn w:val="6"/>
    <w:qFormat/>
    <w:uiPriority w:val="99"/>
    <w:rPr>
      <w:rFonts w:cs="Times New Roman"/>
    </w:rPr>
  </w:style>
  <w:style w:type="character" w:styleId="10">
    <w:name w:val="HTML Definition"/>
    <w:basedOn w:val="6"/>
    <w:qFormat/>
    <w:uiPriority w:val="99"/>
    <w:rPr>
      <w:rFonts w:cs="Times New Roman"/>
    </w:rPr>
  </w:style>
  <w:style w:type="character" w:styleId="11">
    <w:name w:val="HTML Variable"/>
    <w:basedOn w:val="6"/>
    <w:qFormat/>
    <w:uiPriority w:val="99"/>
    <w:rPr>
      <w:rFonts w:cs="Times New Roman"/>
    </w:rPr>
  </w:style>
  <w:style w:type="character" w:styleId="12">
    <w:name w:val="Hyperlink"/>
    <w:basedOn w:val="6"/>
    <w:qFormat/>
    <w:uiPriority w:val="99"/>
    <w:rPr>
      <w:rFonts w:cs="Times New Roman"/>
      <w:color w:val="555555"/>
      <w:u w:val="none"/>
    </w:rPr>
  </w:style>
  <w:style w:type="character" w:styleId="13">
    <w:name w:val="HTML Cite"/>
    <w:basedOn w:val="6"/>
    <w:qFormat/>
    <w:uiPriority w:val="99"/>
    <w:rPr>
      <w:rFonts w:cs="Times New Roman"/>
    </w:rPr>
  </w:style>
  <w:style w:type="character" w:customStyle="1" w:styleId="15">
    <w:name w:val="Footer Char"/>
    <w:basedOn w:val="6"/>
    <w:link w:val="2"/>
    <w:semiHidden/>
    <w:qFormat/>
    <w:locked/>
    <w:uiPriority w:val="99"/>
    <w:rPr>
      <w:rFonts w:cs="Times New Roman"/>
      <w:sz w:val="18"/>
      <w:szCs w:val="18"/>
    </w:rPr>
  </w:style>
  <w:style w:type="character" w:customStyle="1" w:styleId="16">
    <w:name w:val="Header Char"/>
    <w:basedOn w:val="6"/>
    <w:link w:val="3"/>
    <w:semiHidden/>
    <w:qFormat/>
    <w:locked/>
    <w:uiPriority w:val="99"/>
    <w:rPr>
      <w:rFonts w:cs="Times New Roman"/>
      <w:sz w:val="18"/>
      <w:szCs w:val="18"/>
    </w:rPr>
  </w:style>
  <w:style w:type="character" w:customStyle="1" w:styleId="17">
    <w:name w:val="Body Text Indent 3 Char"/>
    <w:basedOn w:val="6"/>
    <w:link w:val="4"/>
    <w:qFormat/>
    <w:locked/>
    <w:uiPriority w:val="99"/>
    <w:rPr>
      <w:rFonts w:ascii="??_GB2312" w:hAnsi="宋体" w:eastAsia="Times New Roman" w:cs="Times New Roman"/>
      <w:color w:val="FF0000"/>
      <w:sz w:val="24"/>
      <w:szCs w:val="24"/>
    </w:rPr>
  </w:style>
  <w:style w:type="paragraph" w:customStyle="1" w:styleId="18">
    <w:name w:val="Char"/>
    <w:basedOn w:val="1"/>
    <w:qFormat/>
    <w:uiPriority w:val="99"/>
    <w:pPr>
      <w:adjustRightInd w:val="0"/>
      <w:spacing w:line="360" w:lineRule="auto"/>
    </w:pPr>
    <w:rPr>
      <w:szCs w:val="20"/>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36</Pages>
  <Words>3232</Words>
  <Characters>18428</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2016-03-01T07:14:00Z</dcterms:created>
  <dc:creator>pc</dc:creator>
  <cp:lastModifiedBy>PC</cp:lastModifiedBy>
  <cp:lastPrinted>2021-03-05T02:38:00Z</cp:lastPrinted>
  <dcterms:modified xsi:type="dcterms:W3CDTF">2021-03-09T08:26:06Z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