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B9" w:rsidRDefault="00092BB9" w:rsidP="00C07FE7">
      <w:pPr>
        <w:ind w:firstLineChars="200" w:firstLine="610"/>
        <w:rPr>
          <w:rFonts w:ascii="Times" w:eastAsia="Times New Roman" w:hAnsi="Times"/>
          <w:b/>
          <w:color w:val="000000"/>
          <w:szCs w:val="30"/>
        </w:rPr>
      </w:pPr>
    </w:p>
    <w:p w:rsidR="00092BB9" w:rsidRDefault="009B61F1">
      <w:pPr>
        <w:spacing w:line="584" w:lineRule="exact"/>
        <w:jc w:val="center"/>
        <w:rPr>
          <w:rFonts w:ascii="方正小标宋_GBK" w:eastAsia="方正小标宋_GBK" w:hAnsi="Times"/>
          <w:color w:val="000000"/>
          <w:sz w:val="40"/>
          <w:szCs w:val="40"/>
        </w:rPr>
      </w:pPr>
      <w:r>
        <w:rPr>
          <w:rFonts w:ascii="方正小标宋_GBK" w:eastAsia="方正小标宋_GBK" w:hAnsi="Times" w:hint="eastAsia"/>
          <w:color w:val="000000"/>
          <w:sz w:val="40"/>
          <w:szCs w:val="40"/>
        </w:rPr>
        <w:t>湖北省人才事业发展中心</w:t>
      </w:r>
      <w:r>
        <w:rPr>
          <w:rFonts w:ascii="方正小标宋_GBK" w:eastAsia="方正小标宋_GBK" w:hAnsi="Times"/>
          <w:color w:val="000000"/>
          <w:sz w:val="40"/>
          <w:szCs w:val="40"/>
        </w:rPr>
        <w:t>20</w:t>
      </w:r>
      <w:r>
        <w:rPr>
          <w:rFonts w:ascii="方正小标宋_GBK" w:eastAsia="方正小标宋_GBK" w:hAnsi="Times" w:hint="eastAsia"/>
          <w:color w:val="000000"/>
          <w:sz w:val="40"/>
          <w:szCs w:val="40"/>
        </w:rPr>
        <w:t>21年部门预算</w:t>
      </w:r>
    </w:p>
    <w:p w:rsidR="00092BB9" w:rsidRDefault="00092BB9" w:rsidP="00C07FE7">
      <w:pPr>
        <w:ind w:firstLineChars="200" w:firstLine="607"/>
        <w:rPr>
          <w:rFonts w:ascii="Times" w:eastAsia="Times New Roman" w:hAnsi="Times"/>
          <w:color w:val="000000"/>
          <w:szCs w:val="30"/>
        </w:rPr>
      </w:pPr>
    </w:p>
    <w:p w:rsidR="00092BB9" w:rsidRDefault="009B61F1">
      <w:pPr>
        <w:jc w:val="center"/>
        <w:rPr>
          <w:rFonts w:ascii="方正小标宋_GBK" w:eastAsia="方正小标宋_GBK" w:hAnsi="Times"/>
          <w:color w:val="000000"/>
          <w:szCs w:val="30"/>
        </w:rPr>
      </w:pPr>
      <w:r>
        <w:rPr>
          <w:rFonts w:ascii="方正小标宋_GBK" w:eastAsia="方正小标宋_GBK" w:hAnsi="Times" w:hint="eastAsia"/>
          <w:color w:val="000000"/>
          <w:szCs w:val="30"/>
        </w:rPr>
        <w:t>目</w:t>
      </w:r>
      <w:r>
        <w:rPr>
          <w:rFonts w:ascii="方正小标宋_GBK" w:eastAsia="方正小标宋_GBK" w:hAnsi="Times"/>
          <w:color w:val="000000"/>
          <w:szCs w:val="30"/>
        </w:rPr>
        <w:t xml:space="preserve">      </w:t>
      </w:r>
      <w:r>
        <w:rPr>
          <w:rFonts w:ascii="方正小标宋_GBK" w:eastAsia="方正小标宋_GBK" w:hAnsi="Times" w:hint="eastAsia"/>
          <w:color w:val="000000"/>
          <w:szCs w:val="30"/>
        </w:rPr>
        <w:t>录</w:t>
      </w:r>
    </w:p>
    <w:p w:rsidR="00092BB9" w:rsidRDefault="00092BB9" w:rsidP="00C07FE7">
      <w:pPr>
        <w:ind w:firstLineChars="200" w:firstLine="607"/>
        <w:rPr>
          <w:rFonts w:ascii="Times" w:eastAsia="Times New Roman" w:hAnsi="Times"/>
          <w:color w:val="000000"/>
          <w:szCs w:val="30"/>
        </w:rPr>
      </w:pPr>
    </w:p>
    <w:p w:rsidR="00092BB9" w:rsidRDefault="00092BB9" w:rsidP="00C07FE7">
      <w:pPr>
        <w:ind w:firstLineChars="200" w:firstLine="607"/>
        <w:rPr>
          <w:rFonts w:ascii="黑体" w:eastAsia="黑体" w:hAnsi="Times"/>
          <w:color w:val="000000"/>
          <w:szCs w:val="30"/>
        </w:rPr>
      </w:pP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一、部门职责及机构设置</w:t>
      </w:r>
    </w:p>
    <w:p w:rsidR="00092BB9" w:rsidRDefault="009B61F1" w:rsidP="00C07FE7">
      <w:pPr>
        <w:ind w:firstLineChars="200" w:firstLine="607"/>
        <w:rPr>
          <w:rFonts w:ascii="楷体_GB2312" w:eastAsia="楷体_GB2312" w:hAnsi="Times"/>
          <w:color w:val="000000"/>
          <w:szCs w:val="30"/>
        </w:rPr>
      </w:pPr>
      <w:r>
        <w:rPr>
          <w:rFonts w:ascii="楷体_GB2312" w:eastAsia="楷体_GB2312" w:hAnsi="Times" w:hint="eastAsia"/>
          <w:color w:val="000000"/>
          <w:szCs w:val="30"/>
        </w:rPr>
        <w:t>（一）主要职责</w:t>
      </w:r>
    </w:p>
    <w:p w:rsidR="00092BB9" w:rsidRDefault="009B61F1" w:rsidP="00C07FE7">
      <w:pPr>
        <w:ind w:firstLineChars="200" w:firstLine="607"/>
        <w:rPr>
          <w:rFonts w:ascii="楷体_GB2312" w:eastAsia="楷体_GB2312" w:hAnsi="Times"/>
          <w:color w:val="000000"/>
          <w:szCs w:val="30"/>
        </w:rPr>
      </w:pPr>
      <w:r>
        <w:rPr>
          <w:rFonts w:ascii="楷体_GB2312" w:eastAsia="楷体_GB2312" w:hAnsi="Times" w:hint="eastAsia"/>
          <w:color w:val="000000"/>
          <w:szCs w:val="30"/>
        </w:rPr>
        <w:t>（二）内设机构</w:t>
      </w: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二、</w:t>
      </w:r>
      <w:r>
        <w:rPr>
          <w:rFonts w:ascii="黑体" w:eastAsia="黑体" w:hAnsi="Times"/>
          <w:color w:val="000000"/>
          <w:szCs w:val="30"/>
        </w:rPr>
        <w:t>20</w:t>
      </w:r>
      <w:r>
        <w:rPr>
          <w:rFonts w:ascii="黑体" w:eastAsia="黑体" w:hAnsi="Times" w:hint="eastAsia"/>
          <w:color w:val="000000"/>
          <w:szCs w:val="30"/>
        </w:rPr>
        <w:t>21年部门预算收支增减变化情况</w:t>
      </w:r>
    </w:p>
    <w:p w:rsidR="00092BB9" w:rsidRDefault="009B61F1" w:rsidP="00C07FE7">
      <w:pPr>
        <w:ind w:firstLineChars="200" w:firstLine="607"/>
        <w:rPr>
          <w:rFonts w:ascii="楷体_GB2312" w:eastAsia="楷体_GB2312" w:hAnsi="楷体" w:cs="楷体"/>
          <w:color w:val="000000"/>
          <w:szCs w:val="30"/>
        </w:rPr>
      </w:pPr>
      <w:r>
        <w:rPr>
          <w:rFonts w:ascii="楷体_GB2312" w:eastAsia="楷体_GB2312" w:hAnsi="楷体" w:cs="楷体" w:hint="eastAsia"/>
          <w:color w:val="000000"/>
          <w:szCs w:val="30"/>
        </w:rPr>
        <w:t>（一）收支预算总体变化情况</w:t>
      </w:r>
    </w:p>
    <w:p w:rsidR="00092BB9" w:rsidRDefault="009B61F1" w:rsidP="00C07FE7">
      <w:pPr>
        <w:ind w:firstLineChars="200" w:firstLine="607"/>
        <w:rPr>
          <w:rFonts w:ascii="楷体_GB2312" w:eastAsia="楷体_GB2312" w:hAnsi="楷体" w:cs="楷体"/>
          <w:color w:val="000000"/>
          <w:szCs w:val="30"/>
        </w:rPr>
      </w:pPr>
      <w:r>
        <w:rPr>
          <w:rFonts w:ascii="楷体_GB2312" w:eastAsia="楷体_GB2312" w:hAnsi="楷体" w:cs="楷体" w:hint="eastAsia"/>
          <w:color w:val="000000"/>
          <w:szCs w:val="30"/>
        </w:rPr>
        <w:t>（二）财政拨款“三公”经费预算变化情况</w:t>
      </w:r>
    </w:p>
    <w:p w:rsidR="00092BB9" w:rsidRDefault="009B61F1" w:rsidP="00C07FE7">
      <w:pPr>
        <w:ind w:firstLineChars="200" w:firstLine="607"/>
        <w:rPr>
          <w:rFonts w:ascii="楷体_GB2312" w:eastAsia="楷体_GB2312" w:hAnsi="楷体" w:cs="楷体"/>
          <w:color w:val="000000"/>
          <w:szCs w:val="30"/>
        </w:rPr>
      </w:pPr>
      <w:r>
        <w:rPr>
          <w:rFonts w:ascii="楷体_GB2312" w:eastAsia="楷体_GB2312" w:hAnsi="楷体" w:cs="楷体" w:hint="eastAsia"/>
          <w:color w:val="000000"/>
          <w:szCs w:val="30"/>
        </w:rPr>
        <w:t>（三）政府性基金情况</w:t>
      </w: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三、机关运行经费安排情况</w:t>
      </w: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四、政府采购预算安排情况</w:t>
      </w: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五、国有资产占用情况</w:t>
      </w: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六、重点预算项目绩效目标情况</w:t>
      </w: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七、名词解释</w:t>
      </w: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t>八、2021年部门预算公开用表</w:t>
      </w:r>
    </w:p>
    <w:p w:rsidR="00092BB9" w:rsidRDefault="00092BB9">
      <w:pPr>
        <w:rPr>
          <w:rFonts w:ascii="黑体" w:eastAsia="黑体" w:hAnsi="黑体" w:cs="黑体"/>
          <w:szCs w:val="30"/>
        </w:rPr>
      </w:pPr>
    </w:p>
    <w:p w:rsidR="00092BB9" w:rsidRDefault="00092BB9" w:rsidP="00C07FE7">
      <w:pPr>
        <w:ind w:firstLineChars="200" w:firstLine="607"/>
        <w:rPr>
          <w:rFonts w:ascii="黑体" w:eastAsia="黑体" w:hAnsi="Times"/>
          <w:color w:val="000000"/>
          <w:szCs w:val="30"/>
        </w:rPr>
      </w:pPr>
    </w:p>
    <w:p w:rsidR="00092BB9" w:rsidRDefault="00092BB9">
      <w:pPr>
        <w:rPr>
          <w:rFonts w:ascii="黑体" w:eastAsia="黑体" w:hAnsi="Times"/>
          <w:color w:val="000000"/>
          <w:szCs w:val="30"/>
        </w:rPr>
      </w:pPr>
    </w:p>
    <w:p w:rsidR="00092BB9" w:rsidRDefault="009B61F1" w:rsidP="00C07FE7">
      <w:pPr>
        <w:ind w:firstLineChars="200" w:firstLine="607"/>
        <w:rPr>
          <w:rFonts w:ascii="黑体" w:eastAsia="黑体" w:hAnsi="Times"/>
          <w:color w:val="000000"/>
          <w:szCs w:val="30"/>
        </w:rPr>
      </w:pPr>
      <w:r>
        <w:rPr>
          <w:rFonts w:ascii="黑体" w:eastAsia="黑体" w:hAnsi="Times" w:hint="eastAsia"/>
          <w:color w:val="000000"/>
          <w:szCs w:val="30"/>
        </w:rPr>
        <w:lastRenderedPageBreak/>
        <w:t>一、部门职责及机构设置</w:t>
      </w:r>
    </w:p>
    <w:p w:rsidR="00092BB9" w:rsidRDefault="009B61F1" w:rsidP="00C07FE7">
      <w:pPr>
        <w:ind w:firstLineChars="200" w:firstLine="607"/>
        <w:rPr>
          <w:rFonts w:ascii="楷体_GB2312" w:eastAsia="楷体_GB2312" w:hAnsi="Times"/>
          <w:color w:val="000000"/>
          <w:szCs w:val="30"/>
        </w:rPr>
      </w:pPr>
      <w:r>
        <w:rPr>
          <w:rFonts w:ascii="楷体_GB2312" w:eastAsia="楷体_GB2312" w:hAnsi="Times" w:hint="eastAsia"/>
          <w:color w:val="000000"/>
          <w:szCs w:val="30"/>
        </w:rPr>
        <w:t>（一）主要职责</w:t>
      </w:r>
    </w:p>
    <w:p w:rsidR="00092BB9" w:rsidRDefault="009B61F1" w:rsidP="00C07FE7">
      <w:pPr>
        <w:ind w:firstLineChars="200" w:firstLine="607"/>
        <w:rPr>
          <w:rFonts w:ascii="仿宋_GB2312" w:eastAsia="仿宋_GB2312" w:hAnsi="仿宋" w:cs="仿宋"/>
          <w:szCs w:val="30"/>
        </w:rPr>
      </w:pPr>
      <w:r>
        <w:rPr>
          <w:rFonts w:ascii="仿宋_GB2312" w:eastAsia="仿宋_GB2312" w:hAnsi="仿宋" w:cs="仿宋" w:hint="eastAsia"/>
          <w:color w:val="484848"/>
          <w:kern w:val="0"/>
          <w:szCs w:val="30"/>
        </w:rPr>
        <w:t>根据《中共湖北省委机构编制委员会关于省人力资源和社会保障厅所属副厅级事业单位有关机构编制事项调整的通知》（鄂编文〔2019〕34号）、《省编办关于省人才服务局机构编制调整的批复》（鄂编办文〔2015〕20号）规定，省人才事业发展中心（原省人才服务局）作为省人力资源和社会保障厅管理的事业单位，机构</w:t>
      </w:r>
      <w:proofErr w:type="gramStart"/>
      <w:r>
        <w:rPr>
          <w:rFonts w:ascii="仿宋_GB2312" w:eastAsia="仿宋_GB2312" w:hAnsi="仿宋" w:cs="仿宋" w:hint="eastAsia"/>
          <w:color w:val="484848"/>
          <w:kern w:val="0"/>
          <w:szCs w:val="30"/>
        </w:rPr>
        <w:t>规格副</w:t>
      </w:r>
      <w:proofErr w:type="gramEnd"/>
      <w:r>
        <w:rPr>
          <w:rFonts w:ascii="仿宋_GB2312" w:eastAsia="仿宋_GB2312" w:hAnsi="仿宋" w:cs="仿宋" w:hint="eastAsia"/>
          <w:color w:val="484848"/>
          <w:kern w:val="0"/>
          <w:szCs w:val="30"/>
        </w:rPr>
        <w:t>厅级。主要职责为：承担人才经办服务工作；承担大学生就业创业指导、高层次人才创新创业经办、技能人才职业培训、职业能力开发和技能人才服务工作；承担公共人事代理、人才引进、人才公共服务信息化建设、信息采集更新和分析发布工作；开展职业技术教育学校、职业培训机构教学研究和职业技术教育学校国家助学金发放工作；承办省人力资源和社会保障行政部门交办的其他工作。</w:t>
      </w:r>
    </w:p>
    <w:p w:rsidR="00092BB9" w:rsidRDefault="009B61F1" w:rsidP="00C07FE7">
      <w:pPr>
        <w:pStyle w:val="a6"/>
        <w:shd w:val="clear" w:color="auto" w:fill="FFFFFF"/>
        <w:spacing w:line="405" w:lineRule="atLeast"/>
        <w:ind w:firstLineChars="200" w:firstLine="607"/>
        <w:jc w:val="both"/>
        <w:rPr>
          <w:rFonts w:ascii="楷体_GB2312" w:eastAsia="楷体_GB2312" w:hAnsi="Times"/>
          <w:color w:val="000000"/>
          <w:kern w:val="2"/>
          <w:sz w:val="30"/>
          <w:szCs w:val="30"/>
        </w:rPr>
      </w:pPr>
      <w:r>
        <w:rPr>
          <w:rFonts w:ascii="楷体_GB2312" w:eastAsia="楷体_GB2312" w:hAnsi="Times" w:hint="eastAsia"/>
          <w:color w:val="000000"/>
          <w:kern w:val="2"/>
          <w:sz w:val="30"/>
          <w:szCs w:val="30"/>
        </w:rPr>
        <w:t>（二）内设机构</w:t>
      </w:r>
    </w:p>
    <w:p w:rsidR="00092BB9" w:rsidRDefault="009B61F1">
      <w:pPr>
        <w:pStyle w:val="a6"/>
        <w:shd w:val="clear" w:color="auto" w:fill="FFFFFF"/>
        <w:spacing w:line="360" w:lineRule="atLeast"/>
        <w:ind w:firstLine="480"/>
        <w:rPr>
          <w:rFonts w:ascii="仿宋_GB2312" w:eastAsia="仿宋_GB2312" w:hAnsi="仿宋" w:cs="仿宋"/>
          <w:color w:val="484848"/>
          <w:sz w:val="30"/>
          <w:szCs w:val="30"/>
        </w:rPr>
      </w:pPr>
      <w:r>
        <w:rPr>
          <w:rFonts w:ascii="仿宋_GB2312" w:eastAsia="仿宋_GB2312" w:hAnsi="仿宋" w:cs="仿宋" w:hint="eastAsia"/>
          <w:color w:val="484848"/>
          <w:sz w:val="30"/>
          <w:szCs w:val="30"/>
        </w:rPr>
        <w:t>省人才事业发展中心内设机构现有6个（处室），主要是：</w:t>
      </w:r>
    </w:p>
    <w:p w:rsidR="00092BB9" w:rsidRDefault="009B61F1">
      <w:pPr>
        <w:pStyle w:val="a6"/>
        <w:shd w:val="clear" w:color="auto" w:fill="FFFFFF"/>
        <w:spacing w:line="360" w:lineRule="atLeast"/>
        <w:ind w:firstLine="480"/>
        <w:rPr>
          <w:rFonts w:ascii="仿宋_GB2312" w:eastAsia="仿宋_GB2312" w:hAnsi="仿宋" w:cs="仿宋"/>
          <w:color w:val="484848"/>
          <w:sz w:val="30"/>
          <w:szCs w:val="30"/>
        </w:rPr>
      </w:pPr>
      <w:r>
        <w:rPr>
          <w:rFonts w:ascii="仿宋_GB2312" w:eastAsia="仿宋_GB2312" w:hAnsi="仿宋" w:cs="仿宋" w:hint="eastAsia"/>
          <w:color w:val="484848"/>
          <w:sz w:val="30"/>
          <w:szCs w:val="30"/>
        </w:rPr>
        <w:t>（1）综合处。承担文件起草、会议组织、信息宣传、公文处理、人事管理、财务内审、基层党建、纪检监察、信访综治、保密机要、安全保卫等工作。</w:t>
      </w:r>
    </w:p>
    <w:p w:rsidR="00092BB9" w:rsidRDefault="009B61F1">
      <w:pPr>
        <w:pStyle w:val="a6"/>
        <w:shd w:val="clear" w:color="auto" w:fill="FFFFFF"/>
        <w:spacing w:line="405" w:lineRule="atLeast"/>
        <w:ind w:firstLine="480"/>
        <w:jc w:val="both"/>
        <w:rPr>
          <w:rFonts w:ascii="仿宋_GB2312" w:eastAsia="仿宋_GB2312" w:hAnsi="仿宋" w:cs="仿宋"/>
          <w:color w:val="484848"/>
          <w:sz w:val="30"/>
          <w:szCs w:val="30"/>
        </w:rPr>
      </w:pPr>
      <w:r>
        <w:rPr>
          <w:rFonts w:ascii="仿宋_GB2312" w:eastAsia="仿宋_GB2312" w:hAnsi="仿宋" w:cs="仿宋" w:hint="eastAsia"/>
          <w:color w:val="484848"/>
          <w:sz w:val="30"/>
          <w:szCs w:val="30"/>
        </w:rPr>
        <w:t>（2）大学生就业创业服务处。开展大学生就业创业宣传服务工作，开展就业创业政策“进校园”服务、就业创业指导和信息服务；组织开展公益性大学生就业招聘专项活动；组织</w:t>
      </w:r>
      <w:proofErr w:type="gramStart"/>
      <w:r>
        <w:rPr>
          <w:rFonts w:ascii="仿宋_GB2312" w:eastAsia="仿宋_GB2312" w:hAnsi="仿宋" w:cs="仿宋" w:hint="eastAsia"/>
          <w:color w:val="484848"/>
          <w:sz w:val="30"/>
          <w:szCs w:val="30"/>
        </w:rPr>
        <w:t>实施省</w:t>
      </w:r>
      <w:proofErr w:type="gramEnd"/>
      <w:r>
        <w:rPr>
          <w:rFonts w:ascii="仿宋_GB2312" w:eastAsia="仿宋_GB2312" w:hAnsi="仿宋" w:cs="仿宋" w:hint="eastAsia"/>
          <w:color w:val="484848"/>
          <w:sz w:val="30"/>
          <w:szCs w:val="30"/>
        </w:rPr>
        <w:t>本</w:t>
      </w:r>
      <w:r>
        <w:rPr>
          <w:rFonts w:ascii="仿宋_GB2312" w:eastAsia="仿宋_GB2312" w:hAnsi="仿宋" w:cs="仿宋" w:hint="eastAsia"/>
          <w:color w:val="484848"/>
          <w:sz w:val="30"/>
          <w:szCs w:val="30"/>
        </w:rPr>
        <w:lastRenderedPageBreak/>
        <w:t>级离校未就业大学生就业见习工作；推动高校毕业生创业孵化基地建设等工作。</w:t>
      </w:r>
    </w:p>
    <w:p w:rsidR="00092BB9" w:rsidRDefault="009B61F1">
      <w:pPr>
        <w:pStyle w:val="a6"/>
        <w:shd w:val="clear" w:color="auto" w:fill="FFFFFF"/>
        <w:spacing w:line="405" w:lineRule="atLeast"/>
        <w:ind w:firstLine="480"/>
        <w:jc w:val="both"/>
        <w:rPr>
          <w:rFonts w:ascii="仿宋_GB2312" w:eastAsia="仿宋_GB2312" w:hAnsi="仿宋" w:cs="仿宋"/>
          <w:color w:val="484848"/>
          <w:sz w:val="30"/>
          <w:szCs w:val="30"/>
        </w:rPr>
      </w:pPr>
      <w:r>
        <w:rPr>
          <w:rFonts w:ascii="仿宋_GB2312" w:eastAsia="仿宋_GB2312" w:hAnsi="仿宋" w:cs="仿宋" w:hint="eastAsia"/>
          <w:color w:val="484848"/>
          <w:sz w:val="30"/>
          <w:szCs w:val="30"/>
        </w:rPr>
        <w:t>（3）专业技术人才服务处。承办专家服务窗口的建设和服务工作；承担专家休假、留学回国人才创业服务、专家津贴发放、企事业单位和大型项目的高端人才引进服务、急需紧缺专业技术人才信息征集与发布等服务。</w:t>
      </w:r>
    </w:p>
    <w:p w:rsidR="00092BB9" w:rsidRDefault="009B61F1">
      <w:pPr>
        <w:pStyle w:val="a6"/>
        <w:shd w:val="clear" w:color="auto" w:fill="FFFFFF"/>
        <w:spacing w:line="405" w:lineRule="atLeast"/>
        <w:ind w:firstLine="480"/>
        <w:jc w:val="both"/>
        <w:rPr>
          <w:rFonts w:ascii="仿宋_GB2312" w:eastAsia="仿宋_GB2312" w:hAnsi="仿宋" w:cs="仿宋"/>
          <w:color w:val="484848"/>
          <w:sz w:val="30"/>
          <w:szCs w:val="30"/>
        </w:rPr>
      </w:pPr>
      <w:r>
        <w:rPr>
          <w:rFonts w:ascii="仿宋_GB2312" w:eastAsia="仿宋_GB2312" w:hAnsi="仿宋" w:cs="仿宋" w:hint="eastAsia"/>
          <w:color w:val="484848"/>
          <w:sz w:val="30"/>
          <w:szCs w:val="30"/>
        </w:rPr>
        <w:t>（4）技能人才服务处（挂“湖北省职业培训技术指导中心”牌子）。开展技能人才职业培训和职业能力开发服务工作；承担技能人才职业培训计划的具体组织实施工作；开展职业技术教育学校和职业培训机构的教学管理研究。</w:t>
      </w:r>
    </w:p>
    <w:p w:rsidR="00092BB9" w:rsidRDefault="009B61F1">
      <w:pPr>
        <w:pStyle w:val="a6"/>
        <w:shd w:val="clear" w:color="auto" w:fill="FFFFFF"/>
        <w:spacing w:line="405" w:lineRule="atLeast"/>
        <w:ind w:firstLine="480"/>
        <w:jc w:val="both"/>
        <w:rPr>
          <w:rFonts w:ascii="仿宋_GB2312" w:eastAsia="仿宋_GB2312" w:hAnsi="仿宋" w:cs="仿宋"/>
          <w:color w:val="484848"/>
          <w:sz w:val="30"/>
          <w:szCs w:val="30"/>
        </w:rPr>
      </w:pPr>
      <w:r>
        <w:rPr>
          <w:rFonts w:ascii="仿宋_GB2312" w:eastAsia="仿宋_GB2312" w:hAnsi="仿宋" w:cs="仿宋" w:hint="eastAsia"/>
          <w:color w:val="484848"/>
          <w:sz w:val="30"/>
          <w:szCs w:val="30"/>
        </w:rPr>
        <w:t>（5）人才流动代理服务处。承担公共人事代理工作；开展流动人员人事档案管理、流动党员教育管理服务；承担人才公共服务办事大厅日常管理和服务工作。</w:t>
      </w:r>
    </w:p>
    <w:p w:rsidR="00092BB9" w:rsidRPr="006C18E5" w:rsidRDefault="009B61F1">
      <w:pPr>
        <w:pStyle w:val="a6"/>
        <w:shd w:val="clear" w:color="auto" w:fill="FFFFFF"/>
        <w:spacing w:line="405" w:lineRule="atLeast"/>
        <w:ind w:firstLine="480"/>
        <w:jc w:val="both"/>
        <w:rPr>
          <w:rFonts w:ascii="仿宋_GB2312" w:eastAsia="仿宋_GB2312" w:hAnsi="仿宋" w:cs="仿宋"/>
          <w:color w:val="484848"/>
          <w:sz w:val="30"/>
          <w:szCs w:val="30"/>
        </w:rPr>
      </w:pPr>
      <w:r>
        <w:rPr>
          <w:rFonts w:ascii="仿宋_GB2312" w:eastAsia="仿宋_GB2312" w:hAnsi="仿宋" w:cs="仿宋" w:hint="eastAsia"/>
          <w:color w:val="484848"/>
          <w:sz w:val="30"/>
          <w:szCs w:val="30"/>
        </w:rPr>
        <w:t>（6）人才服务业发展处（挂“湖北省人才科研所”牌子）。开展人力资源中介服务机构诚信体系建设工作，开展人力资源中介服务行业标准调查研究；承担有关人才信息数据库的建设规划、资源整合、信息采集更新、数据分析和发布，推进人才公共服务系统的信息化建设工作；承担公共人才服务网站建设和管理工作。</w:t>
      </w:r>
    </w:p>
    <w:p w:rsidR="00092BB9" w:rsidRDefault="009B61F1" w:rsidP="00C07FE7">
      <w:pPr>
        <w:ind w:firstLineChars="200" w:firstLine="607"/>
        <w:rPr>
          <w:rFonts w:ascii="黑体" w:eastAsia="黑体" w:hAnsi="Times" w:cs="黑体"/>
          <w:bCs/>
          <w:color w:val="000000" w:themeColor="text1"/>
          <w:szCs w:val="30"/>
        </w:rPr>
      </w:pPr>
      <w:r>
        <w:rPr>
          <w:rFonts w:ascii="黑体" w:eastAsia="黑体" w:hAnsi="Times" w:cs="黑体" w:hint="eastAsia"/>
          <w:bCs/>
          <w:color w:val="000000" w:themeColor="text1"/>
          <w:szCs w:val="30"/>
        </w:rPr>
        <w:t>二、</w:t>
      </w:r>
      <w:r>
        <w:rPr>
          <w:rFonts w:ascii="黑体" w:eastAsia="黑体" w:hAnsi="Times" w:cs="黑体"/>
          <w:bCs/>
          <w:color w:val="000000" w:themeColor="text1"/>
          <w:szCs w:val="30"/>
        </w:rPr>
        <w:t>20</w:t>
      </w:r>
      <w:r>
        <w:rPr>
          <w:rFonts w:ascii="黑体" w:eastAsia="黑体" w:hAnsi="Times" w:cs="黑体" w:hint="eastAsia"/>
          <w:bCs/>
          <w:color w:val="000000" w:themeColor="text1"/>
          <w:szCs w:val="30"/>
        </w:rPr>
        <w:t>21年部门预算收支增减变化情况</w:t>
      </w:r>
    </w:p>
    <w:p w:rsidR="00092BB9" w:rsidRDefault="009B61F1" w:rsidP="00C07FE7">
      <w:pPr>
        <w:ind w:firstLineChars="200" w:firstLine="607"/>
        <w:rPr>
          <w:rFonts w:ascii="楷体" w:eastAsia="楷体" w:hAnsi="楷体" w:cs="楷体"/>
          <w:color w:val="000000" w:themeColor="text1"/>
          <w:szCs w:val="30"/>
        </w:rPr>
      </w:pPr>
      <w:r>
        <w:rPr>
          <w:rFonts w:ascii="楷体" w:eastAsia="楷体" w:hAnsi="楷体" w:cs="楷体" w:hint="eastAsia"/>
          <w:color w:val="000000" w:themeColor="text1"/>
          <w:szCs w:val="30"/>
        </w:rPr>
        <w:t>（一）收支预算总体变化情况</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2021年收入支出预算总计为10434.61万元，较上年3126.59万元增加7308.02万元，增幅233.74%。收入方面，本年财政拨</w:t>
      </w:r>
      <w:r w:rsidRPr="006C18E5">
        <w:rPr>
          <w:rFonts w:ascii="仿宋_GB2312" w:eastAsia="仿宋_GB2312" w:hAnsi="仿宋" w:cs="仿宋" w:hint="eastAsia"/>
          <w:color w:val="484848"/>
          <w:sz w:val="30"/>
          <w:szCs w:val="30"/>
        </w:rPr>
        <w:lastRenderedPageBreak/>
        <w:t>款收入3421.11万元，较上年3110.09万元增加311.02万元，增幅为10.0%</w:t>
      </w:r>
      <w:r w:rsidR="00C07FE7" w:rsidRPr="006C18E5">
        <w:rPr>
          <w:rFonts w:ascii="仿宋_GB2312" w:eastAsia="仿宋_GB2312" w:hAnsi="仿宋" w:cs="仿宋" w:hint="eastAsia"/>
          <w:color w:val="484848"/>
          <w:sz w:val="30"/>
          <w:szCs w:val="30"/>
        </w:rPr>
        <w:t>,主要是由于省委省政府关于专家津贴发放的政策调整，用于发放专家津贴的财政拨款资金增加</w:t>
      </w:r>
      <w:r w:rsidRPr="006C18E5">
        <w:rPr>
          <w:rFonts w:ascii="仿宋_GB2312" w:eastAsia="仿宋_GB2312" w:hAnsi="仿宋" w:cs="仿宋" w:hint="eastAsia"/>
          <w:color w:val="484848"/>
          <w:sz w:val="30"/>
          <w:szCs w:val="30"/>
        </w:rPr>
        <w:t>；本年其他收入为13.5万元，较上年16.5万元减少3万元，减幅18.18%</w:t>
      </w:r>
      <w:r w:rsidR="00C07FE7" w:rsidRPr="006C18E5">
        <w:rPr>
          <w:rFonts w:ascii="仿宋_GB2312" w:eastAsia="仿宋_GB2312" w:hAnsi="仿宋" w:cs="仿宋" w:hint="eastAsia"/>
          <w:color w:val="484848"/>
          <w:sz w:val="30"/>
          <w:szCs w:val="30"/>
        </w:rPr>
        <w:t>，主要是由于落实进一步压</w:t>
      </w:r>
      <w:r w:rsidR="00B27C6C" w:rsidRPr="006C18E5">
        <w:rPr>
          <w:rFonts w:ascii="仿宋_GB2312" w:eastAsia="仿宋_GB2312" w:hAnsi="仿宋" w:cs="仿宋" w:hint="eastAsia"/>
          <w:color w:val="484848"/>
          <w:sz w:val="30"/>
          <w:szCs w:val="30"/>
        </w:rPr>
        <w:t>减</w:t>
      </w:r>
      <w:r w:rsidR="00C07FE7" w:rsidRPr="006C18E5">
        <w:rPr>
          <w:rFonts w:ascii="仿宋_GB2312" w:eastAsia="仿宋_GB2312" w:hAnsi="仿宋" w:cs="仿宋" w:hint="eastAsia"/>
          <w:color w:val="484848"/>
          <w:sz w:val="30"/>
          <w:szCs w:val="30"/>
        </w:rPr>
        <w:t>公用经费的要求，公用经费资金安排减少</w:t>
      </w:r>
      <w:r w:rsidRPr="006C18E5">
        <w:rPr>
          <w:rFonts w:ascii="仿宋_GB2312" w:eastAsia="仿宋_GB2312" w:hAnsi="仿宋" w:cs="仿宋" w:hint="eastAsia"/>
          <w:color w:val="484848"/>
          <w:sz w:val="30"/>
          <w:szCs w:val="30"/>
        </w:rPr>
        <w:t>；上年结余（转）7000万元，较上年0万元增加7000万元</w:t>
      </w:r>
      <w:r w:rsidR="00C07FE7" w:rsidRPr="006C18E5">
        <w:rPr>
          <w:rFonts w:ascii="仿宋_GB2312" w:eastAsia="仿宋_GB2312" w:hAnsi="仿宋" w:cs="仿宋" w:hint="eastAsia"/>
          <w:color w:val="484848"/>
          <w:sz w:val="30"/>
          <w:szCs w:val="30"/>
        </w:rPr>
        <w:t>，主要是为缩小预决算差异，按照财政厅有关要求</w:t>
      </w:r>
      <w:r w:rsidR="00B27C6C" w:rsidRPr="006C18E5">
        <w:rPr>
          <w:rFonts w:ascii="仿宋_GB2312" w:eastAsia="仿宋_GB2312" w:hAnsi="仿宋" w:cs="仿宋" w:hint="eastAsia"/>
          <w:color w:val="484848"/>
          <w:sz w:val="30"/>
          <w:szCs w:val="30"/>
        </w:rPr>
        <w:t>自2021年起将预计发放的代收代付人才补助资金纳入预算编制</w:t>
      </w:r>
      <w:r w:rsidRPr="006C18E5">
        <w:rPr>
          <w:rFonts w:ascii="仿宋_GB2312" w:eastAsia="仿宋_GB2312" w:hAnsi="仿宋" w:cs="仿宋" w:hint="eastAsia"/>
          <w:color w:val="484848"/>
          <w:sz w:val="30"/>
          <w:szCs w:val="30"/>
        </w:rPr>
        <w:t>。</w:t>
      </w:r>
    </w:p>
    <w:p w:rsidR="00BB4455"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支出方面，</w:t>
      </w:r>
      <w:r w:rsidR="0059383A" w:rsidRPr="006C18E5">
        <w:rPr>
          <w:rFonts w:ascii="仿宋_GB2312" w:eastAsia="仿宋_GB2312" w:hAnsi="仿宋" w:cs="仿宋" w:hint="eastAsia"/>
          <w:color w:val="484848"/>
          <w:sz w:val="30"/>
          <w:szCs w:val="30"/>
        </w:rPr>
        <w:t>本年财政拨款支出10421.11万元，较上年3110.09万元增加7311.02万元，增幅为235.07%,主要原因是：</w:t>
      </w:r>
      <w:proofErr w:type="gramStart"/>
      <w:r w:rsidR="0059383A" w:rsidRPr="006C18E5">
        <w:rPr>
          <w:rFonts w:ascii="仿宋_GB2312" w:eastAsia="仿宋_GB2312" w:hAnsi="仿宋" w:cs="仿宋" w:hint="eastAsia"/>
          <w:color w:val="484848"/>
          <w:sz w:val="30"/>
          <w:szCs w:val="30"/>
        </w:rPr>
        <w:t>一</w:t>
      </w:r>
      <w:proofErr w:type="gramEnd"/>
      <w:r w:rsidR="0059383A" w:rsidRPr="006C18E5">
        <w:rPr>
          <w:rFonts w:ascii="仿宋_GB2312" w:eastAsia="仿宋_GB2312" w:hAnsi="仿宋" w:cs="仿宋" w:hint="eastAsia"/>
          <w:color w:val="484848"/>
          <w:sz w:val="30"/>
          <w:szCs w:val="30"/>
        </w:rPr>
        <w:t>由于省委省政府关于专家津贴发放的政策调整，用于发放专家津贴的财政拨款资金支出增加，二为缩小预决算差异，按照财政厅有关要求自2021年起将预计发放的代收代付人才补助上年结转资金纳入预算编制；非财政拨款支出13.5万元，较上年16.5万元减少3万元，减幅18.18%，主要原因是由于落实进一步压减公用经费的要求，公用经费支出减少。</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本年基本支出1743.61万元，较上年1838.59万元减少94.98万元，减幅5.17%</w:t>
      </w:r>
      <w:r w:rsidR="00B27C6C" w:rsidRPr="006C18E5">
        <w:rPr>
          <w:rFonts w:ascii="仿宋_GB2312" w:eastAsia="仿宋_GB2312" w:hAnsi="仿宋" w:cs="仿宋" w:hint="eastAsia"/>
          <w:color w:val="484848"/>
          <w:sz w:val="30"/>
          <w:szCs w:val="30"/>
        </w:rPr>
        <w:t>，主要是由于人员工资结构调整和落实进一步压减公用经费支出，人员经费及公用经费支出减少</w:t>
      </w:r>
      <w:r w:rsidRPr="006C18E5">
        <w:rPr>
          <w:rFonts w:ascii="仿宋_GB2312" w:eastAsia="仿宋_GB2312" w:hAnsi="仿宋" w:cs="仿宋" w:hint="eastAsia"/>
          <w:color w:val="484848"/>
          <w:sz w:val="30"/>
          <w:szCs w:val="30"/>
        </w:rPr>
        <w:t>；本年项目支出8691万元，较上年1288万元增加7403万元</w:t>
      </w:r>
      <w:r w:rsidR="00B27C6C" w:rsidRPr="006C18E5">
        <w:rPr>
          <w:rFonts w:ascii="仿宋_GB2312" w:eastAsia="仿宋_GB2312" w:hAnsi="仿宋" w:cs="仿宋" w:hint="eastAsia"/>
          <w:color w:val="484848"/>
          <w:sz w:val="30"/>
          <w:szCs w:val="30"/>
        </w:rPr>
        <w:t>，增幅574.77%，</w:t>
      </w:r>
      <w:r w:rsidRPr="006C18E5">
        <w:rPr>
          <w:rFonts w:ascii="仿宋_GB2312" w:eastAsia="仿宋_GB2312" w:hAnsi="仿宋" w:cs="仿宋" w:hint="eastAsia"/>
          <w:color w:val="484848"/>
          <w:sz w:val="30"/>
          <w:szCs w:val="30"/>
        </w:rPr>
        <w:t>增加的</w:t>
      </w:r>
      <w:r w:rsidR="00B27C6C" w:rsidRPr="006C18E5">
        <w:rPr>
          <w:rFonts w:ascii="仿宋_GB2312" w:eastAsia="仿宋_GB2312" w:hAnsi="仿宋" w:cs="仿宋" w:hint="eastAsia"/>
          <w:color w:val="484848"/>
          <w:sz w:val="30"/>
          <w:szCs w:val="30"/>
        </w:rPr>
        <w:t>主要原因是：</w:t>
      </w:r>
      <w:proofErr w:type="gramStart"/>
      <w:r w:rsidR="00B27C6C" w:rsidRPr="006C18E5">
        <w:rPr>
          <w:rFonts w:ascii="仿宋_GB2312" w:eastAsia="仿宋_GB2312" w:hAnsi="仿宋" w:cs="仿宋" w:hint="eastAsia"/>
          <w:color w:val="484848"/>
          <w:sz w:val="30"/>
          <w:szCs w:val="30"/>
        </w:rPr>
        <w:t>一</w:t>
      </w:r>
      <w:proofErr w:type="gramEnd"/>
      <w:r w:rsidR="00B27C6C" w:rsidRPr="006C18E5">
        <w:rPr>
          <w:rFonts w:ascii="仿宋_GB2312" w:eastAsia="仿宋_GB2312" w:hAnsi="仿宋" w:cs="仿宋" w:hint="eastAsia"/>
          <w:color w:val="484848"/>
          <w:sz w:val="30"/>
          <w:szCs w:val="30"/>
        </w:rPr>
        <w:t>专家津贴发放标准及人数变化，专家津贴支出增加，</w:t>
      </w:r>
      <w:proofErr w:type="gramStart"/>
      <w:r w:rsidR="00B27C6C" w:rsidRPr="006C18E5">
        <w:rPr>
          <w:rFonts w:ascii="仿宋_GB2312" w:eastAsia="仿宋_GB2312" w:hAnsi="仿宋" w:cs="仿宋" w:hint="eastAsia"/>
          <w:color w:val="484848"/>
          <w:sz w:val="30"/>
          <w:szCs w:val="30"/>
        </w:rPr>
        <w:t>二</w:t>
      </w:r>
      <w:r w:rsidR="0057403E" w:rsidRPr="006C18E5">
        <w:rPr>
          <w:rFonts w:ascii="仿宋_GB2312" w:eastAsia="仿宋_GB2312" w:hAnsi="仿宋" w:cs="仿宋" w:hint="eastAsia"/>
          <w:color w:val="484848"/>
          <w:sz w:val="30"/>
          <w:szCs w:val="30"/>
        </w:rPr>
        <w:t>增加</w:t>
      </w:r>
      <w:proofErr w:type="gramEnd"/>
      <w:r w:rsidR="0057403E" w:rsidRPr="006C18E5">
        <w:rPr>
          <w:rFonts w:ascii="仿宋_GB2312" w:eastAsia="仿宋_GB2312" w:hAnsi="仿宋" w:cs="仿宋" w:hint="eastAsia"/>
          <w:color w:val="484848"/>
          <w:sz w:val="30"/>
          <w:szCs w:val="30"/>
        </w:rPr>
        <w:t>了流动人员档案扫描及库房扩建费用支出，三</w:t>
      </w:r>
      <w:r w:rsidR="0057403E" w:rsidRPr="006C18E5">
        <w:rPr>
          <w:rFonts w:ascii="仿宋_GB2312" w:eastAsia="仿宋_GB2312" w:hAnsi="仿宋" w:cs="仿宋" w:hint="eastAsia"/>
          <w:color w:val="484848"/>
          <w:sz w:val="30"/>
          <w:szCs w:val="30"/>
        </w:rPr>
        <w:lastRenderedPageBreak/>
        <w:t>为缩小预决算差异，按照财政厅有关要求自2021年起将预计发放的代收代付人才补助资金纳入预算编制。</w:t>
      </w:r>
    </w:p>
    <w:p w:rsidR="00092BB9" w:rsidRDefault="009B61F1" w:rsidP="00C07FE7">
      <w:pPr>
        <w:ind w:firstLineChars="200" w:firstLine="607"/>
        <w:rPr>
          <w:rFonts w:ascii="楷体" w:eastAsia="楷体" w:hAnsi="楷体" w:cs="楷体"/>
          <w:color w:val="000000" w:themeColor="text1"/>
          <w:szCs w:val="30"/>
        </w:rPr>
      </w:pPr>
      <w:r>
        <w:rPr>
          <w:rFonts w:ascii="楷体" w:eastAsia="楷体" w:hAnsi="楷体" w:cs="楷体" w:hint="eastAsia"/>
          <w:color w:val="000000" w:themeColor="text1"/>
          <w:szCs w:val="30"/>
        </w:rPr>
        <w:t>（二）财政拨款“三公”经费预算变化情况</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本年财政拨款“三公”经费预算数为12.1万元，较上年12.5万元减少0.4万元，减幅3.2%。其中，本年因公出国（境）费4万元，较上年4万元无变化；本年公务接待费0.5万元，较上年0.5万元无变化；本年公务用车购置及运行维护费（无公车购置）7.6万元，较上年8万元减少0.4万元，减幅5%。“三公”经费预算下降的主要原因是合理压缩一般性支出，严格控制“三公”经费支出。</w:t>
      </w:r>
    </w:p>
    <w:p w:rsidR="00092BB9" w:rsidRDefault="009B61F1" w:rsidP="00C07FE7">
      <w:pPr>
        <w:ind w:firstLineChars="200" w:firstLine="607"/>
        <w:rPr>
          <w:rFonts w:ascii="楷体" w:eastAsia="楷体" w:hAnsi="楷体" w:cs="楷体"/>
          <w:color w:val="000000" w:themeColor="text1"/>
          <w:szCs w:val="30"/>
        </w:rPr>
      </w:pPr>
      <w:r>
        <w:rPr>
          <w:rFonts w:ascii="楷体" w:eastAsia="楷体" w:hAnsi="楷体" w:cs="楷体" w:hint="eastAsia"/>
          <w:color w:val="000000" w:themeColor="text1"/>
          <w:szCs w:val="30"/>
        </w:rPr>
        <w:t>（三）政府性基金情况</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本年无政府性基金预算支出。</w:t>
      </w:r>
    </w:p>
    <w:p w:rsidR="00092BB9" w:rsidRDefault="009B61F1" w:rsidP="00C07FE7">
      <w:pPr>
        <w:ind w:firstLineChars="200" w:firstLine="607"/>
        <w:rPr>
          <w:rFonts w:ascii="黑体" w:eastAsia="黑体" w:hAnsi="Times" w:cs="黑体"/>
          <w:bCs/>
          <w:color w:val="000000" w:themeColor="text1"/>
          <w:szCs w:val="30"/>
        </w:rPr>
      </w:pPr>
      <w:r>
        <w:rPr>
          <w:rFonts w:ascii="黑体" w:eastAsia="黑体" w:hAnsi="Times" w:cs="黑体" w:hint="eastAsia"/>
          <w:bCs/>
          <w:color w:val="000000" w:themeColor="text1"/>
          <w:szCs w:val="30"/>
        </w:rPr>
        <w:t>三、机关运行经费安排情况</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本年运行经费支出预算283.5万元，较上年286.5万元减少3万元，减幅1.05%，减少的主要原因是进一步压缩“三公”经费等一般性支出。其中：办公费13万元，水电费34万元，邮电费26万元，物业管理费18万元，劳务费1万元，其他交通费用2万元，公务用车运行维护费7.6万元，差旅费34万元，维修（护）费2万元，会议费4.5万元，公务接待费2.5万元，因公出国（境）费4万元，工会经费20万元，福利费18万元，印刷费3万元，其他商品和服务支出93.9万元。</w:t>
      </w:r>
    </w:p>
    <w:p w:rsidR="00092BB9" w:rsidRDefault="009B61F1" w:rsidP="00C07FE7">
      <w:pPr>
        <w:ind w:firstLineChars="200" w:firstLine="607"/>
        <w:rPr>
          <w:rFonts w:ascii="黑体" w:eastAsia="黑体" w:hAnsi="Times" w:cs="黑体"/>
          <w:bCs/>
          <w:color w:val="000000" w:themeColor="text1"/>
          <w:szCs w:val="30"/>
        </w:rPr>
      </w:pPr>
      <w:r>
        <w:rPr>
          <w:rFonts w:ascii="黑体" w:eastAsia="黑体" w:hAnsi="Times" w:cs="黑体" w:hint="eastAsia"/>
          <w:bCs/>
          <w:color w:val="000000" w:themeColor="text1"/>
          <w:szCs w:val="30"/>
        </w:rPr>
        <w:t>四、政府采购安排情况</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lastRenderedPageBreak/>
        <w:t>本年政府采购预算989.2万元，经费来源为一般公共预算财政拨款。本年政府采购预算较上年978.39万元增加10.81万元，增幅1.10%。变动主要原因是项目支出增加，严格按照有关规定，切实做到“应编尽编，应采尽采”。</w:t>
      </w:r>
    </w:p>
    <w:p w:rsidR="00092BB9" w:rsidRDefault="009B61F1" w:rsidP="00C07FE7">
      <w:pPr>
        <w:ind w:firstLineChars="200" w:firstLine="607"/>
        <w:rPr>
          <w:rFonts w:ascii="黑体" w:eastAsia="黑体" w:hAnsi="Times" w:cs="黑体"/>
          <w:bCs/>
          <w:color w:val="000000" w:themeColor="text1"/>
          <w:szCs w:val="30"/>
        </w:rPr>
      </w:pPr>
      <w:r>
        <w:rPr>
          <w:rFonts w:ascii="黑体" w:eastAsia="黑体" w:hAnsi="Times" w:cs="黑体" w:hint="eastAsia"/>
          <w:bCs/>
          <w:color w:val="000000" w:themeColor="text1"/>
          <w:szCs w:val="30"/>
        </w:rPr>
        <w:t>五、国有资产占用情况</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本年房屋建筑面积存量1.17万平方米，其中，办公用房0.47万平方米，专用房屋0.70万平方米；土地面积0.24万平方米；机动车辆存量3台。</w:t>
      </w:r>
    </w:p>
    <w:p w:rsidR="00092BB9" w:rsidRDefault="009B61F1" w:rsidP="00C07FE7">
      <w:pPr>
        <w:ind w:firstLineChars="200" w:firstLine="607"/>
        <w:rPr>
          <w:rFonts w:ascii="黑体" w:eastAsia="黑体" w:hAnsi="Times" w:cs="黑体"/>
          <w:bCs/>
          <w:color w:val="000000" w:themeColor="text1"/>
          <w:szCs w:val="30"/>
        </w:rPr>
      </w:pPr>
      <w:r>
        <w:rPr>
          <w:rFonts w:ascii="黑体" w:eastAsia="黑体" w:hAnsi="Times" w:cs="黑体" w:hint="eastAsia"/>
          <w:bCs/>
          <w:color w:val="000000" w:themeColor="text1"/>
          <w:szCs w:val="30"/>
        </w:rPr>
        <w:t>六、重点项目预算绩效目标情况</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本年共编列预算项目绩效目标4个，均为省本级项目绩效目标。重点项目绩效目标情况如下：（1）流动人员人事档案基本公共服务项目绩效目标：开展流动人员人事档案管理数字化工作，对纸质档案进行数字化扫描，提高档案使用效率，做好“一窗受理，集成服务”，简化窗口流程，提升服务质量，业务咨询及投诉回复率100%。（2）省级就业补助资金项目绩效目标：完成各类公益性省内外专项招聘、求职大赛、就业见习等就业服务活动，持续举办“创立方”系列活动，提升大学生创业者创新创业能力。</w:t>
      </w:r>
    </w:p>
    <w:p w:rsidR="00092BB9" w:rsidRDefault="009B61F1" w:rsidP="00C07FE7">
      <w:pPr>
        <w:ind w:firstLineChars="200" w:firstLine="607"/>
        <w:rPr>
          <w:rFonts w:ascii="黑体" w:eastAsia="黑体" w:hAnsi="Times" w:cs="黑体"/>
          <w:bCs/>
          <w:color w:val="000000" w:themeColor="text1"/>
          <w:szCs w:val="30"/>
        </w:rPr>
      </w:pPr>
      <w:r>
        <w:rPr>
          <w:rFonts w:ascii="黑体" w:eastAsia="黑体" w:hAnsi="Times" w:cs="黑体" w:hint="eastAsia"/>
          <w:bCs/>
          <w:color w:val="000000" w:themeColor="text1"/>
          <w:szCs w:val="30"/>
        </w:rPr>
        <w:t>七、名词解释</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1．财政拨款（补助）收入：</w:t>
      </w:r>
      <w:proofErr w:type="gramStart"/>
      <w:r w:rsidRPr="006C18E5">
        <w:rPr>
          <w:rFonts w:ascii="仿宋_GB2312" w:eastAsia="仿宋_GB2312" w:hAnsi="仿宋" w:cs="仿宋" w:hint="eastAsia"/>
          <w:color w:val="484848"/>
          <w:sz w:val="30"/>
          <w:szCs w:val="30"/>
        </w:rPr>
        <w:t>指省财政</w:t>
      </w:r>
      <w:proofErr w:type="gramEnd"/>
      <w:r w:rsidRPr="006C18E5">
        <w:rPr>
          <w:rFonts w:ascii="仿宋_GB2312" w:eastAsia="仿宋_GB2312" w:hAnsi="仿宋" w:cs="仿宋" w:hint="eastAsia"/>
          <w:color w:val="484848"/>
          <w:sz w:val="30"/>
          <w:szCs w:val="30"/>
        </w:rPr>
        <w:t>当年拨付的资金。</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2．其他收入：指除上述“财政拨款收入”等以外的上级交办任务相应安排的资金。</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3．基本支出：指为保障机构正常运转、完成日常工作任务而</w:t>
      </w:r>
      <w:r w:rsidRPr="006C18E5">
        <w:rPr>
          <w:rFonts w:ascii="仿宋_GB2312" w:eastAsia="仿宋_GB2312" w:hAnsi="仿宋" w:cs="仿宋" w:hint="eastAsia"/>
          <w:color w:val="484848"/>
          <w:sz w:val="30"/>
          <w:szCs w:val="30"/>
        </w:rPr>
        <w:lastRenderedPageBreak/>
        <w:t>发生的人员支出和公用支出。</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4．项目支出：指在基本支出之外为完成特定行政任务和事业发展目标所发生的支出。</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5.机关运行经费：指为保障单位运行使用一般公共预算财政 拨款安排的基本支出中的日常公用经费支出。包括办公费、印刷费、邮电费、差旅费、会议费、福利费、日常维修费、专用材料及一般设备购置费、办公用房水电费、取暖费、物业管理费、公务用车运行维护及其他费用。</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6．“三公”经费：是指用一般公共预算财政拨款安排的因公出国（境）费、公务用车购置及运行维护费、公务接待费。</w:t>
      </w:r>
    </w:p>
    <w:p w:rsidR="00092BB9" w:rsidRDefault="009B61F1" w:rsidP="00C07FE7">
      <w:pPr>
        <w:ind w:firstLineChars="200" w:firstLine="607"/>
        <w:rPr>
          <w:rFonts w:ascii="黑体" w:eastAsia="黑体" w:hAnsi="Times" w:cs="黑体"/>
          <w:bCs/>
          <w:color w:val="000000" w:themeColor="text1"/>
          <w:szCs w:val="30"/>
        </w:rPr>
      </w:pPr>
      <w:r>
        <w:rPr>
          <w:rFonts w:ascii="黑体" w:eastAsia="黑体" w:hAnsi="Times" w:cs="黑体" w:hint="eastAsia"/>
          <w:bCs/>
          <w:color w:val="000000" w:themeColor="text1"/>
          <w:szCs w:val="30"/>
        </w:rPr>
        <w:t>八、2021年部门预算公开用表</w:t>
      </w:r>
    </w:p>
    <w:p w:rsidR="00092BB9" w:rsidRPr="006C18E5" w:rsidRDefault="009B61F1" w:rsidP="006C18E5">
      <w:pPr>
        <w:pStyle w:val="a6"/>
        <w:shd w:val="clear" w:color="auto" w:fill="FFFFFF"/>
        <w:spacing w:line="405" w:lineRule="atLeast"/>
        <w:ind w:firstLine="480"/>
        <w:jc w:val="both"/>
        <w:rPr>
          <w:rFonts w:ascii="仿宋_GB2312" w:eastAsia="仿宋_GB2312" w:hAnsi="仿宋" w:cs="仿宋"/>
          <w:color w:val="484848"/>
          <w:sz w:val="30"/>
          <w:szCs w:val="30"/>
        </w:rPr>
      </w:pPr>
      <w:r w:rsidRPr="006C18E5">
        <w:rPr>
          <w:rFonts w:ascii="仿宋_GB2312" w:eastAsia="仿宋_GB2312" w:hAnsi="仿宋" w:cs="仿宋" w:hint="eastAsia"/>
          <w:color w:val="484848"/>
          <w:sz w:val="30"/>
          <w:szCs w:val="30"/>
        </w:rPr>
        <w:t>附表：2021年部门预算公开用表</w:t>
      </w:r>
    </w:p>
    <w:p w:rsidR="00092BB9" w:rsidRDefault="00092BB9" w:rsidP="00092BB9">
      <w:pPr>
        <w:ind w:firstLineChars="200" w:firstLine="607"/>
        <w:rPr>
          <w:rFonts w:ascii="仿宋_GB2312" w:eastAsia="仿宋_GB2312" w:hAnsi="仿宋" w:cs="仿宋"/>
          <w:color w:val="000000" w:themeColor="text1"/>
          <w:szCs w:val="30"/>
        </w:rPr>
      </w:pPr>
      <w:bookmarkStart w:id="0" w:name="_GoBack"/>
      <w:bookmarkEnd w:id="0"/>
    </w:p>
    <w:sectPr w:rsidR="00092BB9" w:rsidSect="00092BB9">
      <w:footerReference w:type="even" r:id="rId7"/>
      <w:footerReference w:type="default" r:id="rId8"/>
      <w:pgSz w:w="11906" w:h="16838"/>
      <w:pgMar w:top="1985" w:right="1701" w:bottom="1985" w:left="1701" w:header="851" w:footer="1588" w:gutter="0"/>
      <w:cols w:space="425"/>
      <w:docGrid w:type="linesAndChars" w:linePitch="584" w:charSpace="7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3DD" w:rsidRDefault="003E53DD" w:rsidP="00092BB9">
      <w:r>
        <w:separator/>
      </w:r>
    </w:p>
  </w:endnote>
  <w:endnote w:type="continuationSeparator" w:id="0">
    <w:p w:rsidR="003E53DD" w:rsidRDefault="003E53DD" w:rsidP="00092B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_GB2312">
    <w:altName w:val="Times New Roman"/>
    <w:charset w:val="00"/>
    <w:family w:val="auto"/>
    <w:pitch w:val="default"/>
    <w:sig w:usb0="00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B9" w:rsidRDefault="00AD2644">
    <w:pPr>
      <w:pStyle w:val="a4"/>
      <w:framePr w:wrap="around" w:vAnchor="text" w:hAnchor="margin" w:xAlign="outside" w:y="1"/>
      <w:rPr>
        <w:rStyle w:val="a7"/>
      </w:rPr>
    </w:pPr>
    <w:r>
      <w:rPr>
        <w:rStyle w:val="a7"/>
      </w:rPr>
      <w:fldChar w:fldCharType="begin"/>
    </w:r>
    <w:r w:rsidR="009B61F1">
      <w:rPr>
        <w:rStyle w:val="a7"/>
      </w:rPr>
      <w:instrText xml:space="preserve">PAGE  </w:instrText>
    </w:r>
    <w:r>
      <w:rPr>
        <w:rStyle w:val="a7"/>
      </w:rPr>
      <w:fldChar w:fldCharType="end"/>
    </w:r>
  </w:p>
  <w:p w:rsidR="00092BB9" w:rsidRDefault="00092BB9">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BB9" w:rsidRDefault="009B61F1">
    <w:pPr>
      <w:pStyle w:val="a4"/>
      <w:framePr w:wrap="around" w:vAnchor="text" w:hAnchor="margin" w:xAlign="outside" w:y="1"/>
      <w:ind w:leftChars="100" w:left="300" w:rightChars="100" w:right="300"/>
      <w:rPr>
        <w:rStyle w:val="a7"/>
        <w:rFonts w:ascii="Times New Roman" w:hAnsi="Times New Roman"/>
        <w:sz w:val="28"/>
        <w:szCs w:val="28"/>
      </w:rPr>
    </w:pPr>
    <w:r>
      <w:rPr>
        <w:rStyle w:val="a7"/>
        <w:rFonts w:ascii="Times New Roman" w:hAnsi="Times New Roman"/>
        <w:sz w:val="28"/>
        <w:szCs w:val="28"/>
      </w:rPr>
      <w:t xml:space="preserve">— </w:t>
    </w:r>
    <w:r w:rsidR="00AD2644">
      <w:rPr>
        <w:rStyle w:val="a7"/>
        <w:rFonts w:ascii="Times New Roman" w:hAnsi="Times New Roman"/>
        <w:sz w:val="28"/>
        <w:szCs w:val="28"/>
      </w:rPr>
      <w:fldChar w:fldCharType="begin"/>
    </w:r>
    <w:r>
      <w:rPr>
        <w:rStyle w:val="a7"/>
        <w:rFonts w:ascii="Times New Roman" w:hAnsi="Times New Roman"/>
        <w:sz w:val="28"/>
        <w:szCs w:val="28"/>
      </w:rPr>
      <w:instrText xml:space="preserve">PAGE  </w:instrText>
    </w:r>
    <w:r w:rsidR="00AD2644">
      <w:rPr>
        <w:rStyle w:val="a7"/>
        <w:rFonts w:ascii="Times New Roman" w:hAnsi="Times New Roman"/>
        <w:sz w:val="28"/>
        <w:szCs w:val="28"/>
      </w:rPr>
      <w:fldChar w:fldCharType="separate"/>
    </w:r>
    <w:r w:rsidR="006C18E5">
      <w:rPr>
        <w:rStyle w:val="a7"/>
        <w:rFonts w:ascii="Times New Roman" w:hAnsi="Times New Roman"/>
        <w:noProof/>
        <w:sz w:val="28"/>
        <w:szCs w:val="28"/>
      </w:rPr>
      <w:t>1</w:t>
    </w:r>
    <w:r w:rsidR="00AD2644">
      <w:rPr>
        <w:rStyle w:val="a7"/>
        <w:rFonts w:ascii="Times New Roman" w:hAnsi="Times New Roman"/>
        <w:sz w:val="28"/>
        <w:szCs w:val="28"/>
      </w:rPr>
      <w:fldChar w:fldCharType="end"/>
    </w:r>
    <w:r>
      <w:rPr>
        <w:rStyle w:val="a7"/>
        <w:rFonts w:ascii="Times New Roman" w:hAnsi="Times New Roman"/>
        <w:sz w:val="28"/>
        <w:szCs w:val="28"/>
      </w:rPr>
      <w:t xml:space="preserve"> —</w:t>
    </w:r>
  </w:p>
  <w:p w:rsidR="00092BB9" w:rsidRDefault="00092BB9">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3DD" w:rsidRDefault="003E53DD" w:rsidP="00092BB9">
      <w:r>
        <w:separator/>
      </w:r>
    </w:p>
  </w:footnote>
  <w:footnote w:type="continuationSeparator" w:id="0">
    <w:p w:rsidR="003E53DD" w:rsidRDefault="003E53DD" w:rsidP="00092BB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HorizontalSpacing w:val="152"/>
  <w:drawingGridVerticalSpacing w:val="292"/>
  <w:noPunctuationKerning/>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65FE"/>
    <w:rsid w:val="00011F4A"/>
    <w:rsid w:val="00064FA6"/>
    <w:rsid w:val="0007250E"/>
    <w:rsid w:val="00092BB9"/>
    <w:rsid w:val="00096239"/>
    <w:rsid w:val="000A7DBC"/>
    <w:rsid w:val="000D5FC2"/>
    <w:rsid w:val="001138CA"/>
    <w:rsid w:val="001162B0"/>
    <w:rsid w:val="00116CE7"/>
    <w:rsid w:val="00123BA7"/>
    <w:rsid w:val="001361CB"/>
    <w:rsid w:val="00155DA4"/>
    <w:rsid w:val="00162297"/>
    <w:rsid w:val="00172A27"/>
    <w:rsid w:val="00175915"/>
    <w:rsid w:val="001E3165"/>
    <w:rsid w:val="001F1259"/>
    <w:rsid w:val="001F28FB"/>
    <w:rsid w:val="001F622A"/>
    <w:rsid w:val="001F6804"/>
    <w:rsid w:val="002438D9"/>
    <w:rsid w:val="002458E5"/>
    <w:rsid w:val="0025402E"/>
    <w:rsid w:val="0028733A"/>
    <w:rsid w:val="002929A3"/>
    <w:rsid w:val="002944A5"/>
    <w:rsid w:val="002A5E37"/>
    <w:rsid w:val="002D34C3"/>
    <w:rsid w:val="002D3F9E"/>
    <w:rsid w:val="002E5A35"/>
    <w:rsid w:val="00312A92"/>
    <w:rsid w:val="00323FDC"/>
    <w:rsid w:val="003301DB"/>
    <w:rsid w:val="00360500"/>
    <w:rsid w:val="003712DC"/>
    <w:rsid w:val="0038656E"/>
    <w:rsid w:val="00395435"/>
    <w:rsid w:val="003E1797"/>
    <w:rsid w:val="003E53DD"/>
    <w:rsid w:val="00411155"/>
    <w:rsid w:val="0044142A"/>
    <w:rsid w:val="00441B65"/>
    <w:rsid w:val="0044241F"/>
    <w:rsid w:val="00446C47"/>
    <w:rsid w:val="0045335B"/>
    <w:rsid w:val="00472C1E"/>
    <w:rsid w:val="004960FB"/>
    <w:rsid w:val="004C0F8E"/>
    <w:rsid w:val="004D0DBB"/>
    <w:rsid w:val="004D268D"/>
    <w:rsid w:val="004D528B"/>
    <w:rsid w:val="004D63FF"/>
    <w:rsid w:val="004E5A87"/>
    <w:rsid w:val="004F6732"/>
    <w:rsid w:val="00506C15"/>
    <w:rsid w:val="00516D95"/>
    <w:rsid w:val="005578A3"/>
    <w:rsid w:val="00572851"/>
    <w:rsid w:val="0057403E"/>
    <w:rsid w:val="00591D3A"/>
    <w:rsid w:val="0059383A"/>
    <w:rsid w:val="00596A18"/>
    <w:rsid w:val="00597D82"/>
    <w:rsid w:val="005A7AB4"/>
    <w:rsid w:val="005D5275"/>
    <w:rsid w:val="005E1C9B"/>
    <w:rsid w:val="005E6D56"/>
    <w:rsid w:val="005F476A"/>
    <w:rsid w:val="006127A6"/>
    <w:rsid w:val="006152F6"/>
    <w:rsid w:val="00625432"/>
    <w:rsid w:val="006443D3"/>
    <w:rsid w:val="00661CD9"/>
    <w:rsid w:val="00677DEC"/>
    <w:rsid w:val="00684490"/>
    <w:rsid w:val="006A02A6"/>
    <w:rsid w:val="006A5462"/>
    <w:rsid w:val="006C18E5"/>
    <w:rsid w:val="006C1BC7"/>
    <w:rsid w:val="006C7615"/>
    <w:rsid w:val="006C7C92"/>
    <w:rsid w:val="006E4E3C"/>
    <w:rsid w:val="00726D82"/>
    <w:rsid w:val="0075237C"/>
    <w:rsid w:val="00756B91"/>
    <w:rsid w:val="00790572"/>
    <w:rsid w:val="007C510C"/>
    <w:rsid w:val="007D1707"/>
    <w:rsid w:val="007D574D"/>
    <w:rsid w:val="00805CCC"/>
    <w:rsid w:val="00844260"/>
    <w:rsid w:val="00845ED7"/>
    <w:rsid w:val="00853E01"/>
    <w:rsid w:val="008712C5"/>
    <w:rsid w:val="00874993"/>
    <w:rsid w:val="008871AE"/>
    <w:rsid w:val="00892442"/>
    <w:rsid w:val="00893082"/>
    <w:rsid w:val="00897489"/>
    <w:rsid w:val="008B3EC2"/>
    <w:rsid w:val="008B49D1"/>
    <w:rsid w:val="008C620C"/>
    <w:rsid w:val="008D7DD1"/>
    <w:rsid w:val="008E68A3"/>
    <w:rsid w:val="008E7C45"/>
    <w:rsid w:val="00902EFF"/>
    <w:rsid w:val="009030B4"/>
    <w:rsid w:val="0094459D"/>
    <w:rsid w:val="00975414"/>
    <w:rsid w:val="009B61F1"/>
    <w:rsid w:val="009E0E56"/>
    <w:rsid w:val="00A01172"/>
    <w:rsid w:val="00A02A6C"/>
    <w:rsid w:val="00A034C0"/>
    <w:rsid w:val="00A2203B"/>
    <w:rsid w:val="00A33A8E"/>
    <w:rsid w:val="00A47025"/>
    <w:rsid w:val="00A57EE2"/>
    <w:rsid w:val="00A62909"/>
    <w:rsid w:val="00A67336"/>
    <w:rsid w:val="00A8773B"/>
    <w:rsid w:val="00AC21B7"/>
    <w:rsid w:val="00AD2644"/>
    <w:rsid w:val="00AD4785"/>
    <w:rsid w:val="00B07EE2"/>
    <w:rsid w:val="00B156A5"/>
    <w:rsid w:val="00B27C6C"/>
    <w:rsid w:val="00B33463"/>
    <w:rsid w:val="00B37A9F"/>
    <w:rsid w:val="00B40E30"/>
    <w:rsid w:val="00B435A5"/>
    <w:rsid w:val="00B50B78"/>
    <w:rsid w:val="00B6353D"/>
    <w:rsid w:val="00B81027"/>
    <w:rsid w:val="00BA2856"/>
    <w:rsid w:val="00BB4455"/>
    <w:rsid w:val="00BB58CD"/>
    <w:rsid w:val="00BE5C32"/>
    <w:rsid w:val="00BF4574"/>
    <w:rsid w:val="00C07FE7"/>
    <w:rsid w:val="00C1120B"/>
    <w:rsid w:val="00C279FA"/>
    <w:rsid w:val="00C5355B"/>
    <w:rsid w:val="00C67A9D"/>
    <w:rsid w:val="00C71F57"/>
    <w:rsid w:val="00C811B4"/>
    <w:rsid w:val="00C87C8A"/>
    <w:rsid w:val="00CA6769"/>
    <w:rsid w:val="00CB2E50"/>
    <w:rsid w:val="00CB3021"/>
    <w:rsid w:val="00CF0CDD"/>
    <w:rsid w:val="00D002FB"/>
    <w:rsid w:val="00D003DF"/>
    <w:rsid w:val="00D15CC7"/>
    <w:rsid w:val="00D3583B"/>
    <w:rsid w:val="00D46CF6"/>
    <w:rsid w:val="00D71D2D"/>
    <w:rsid w:val="00D721A3"/>
    <w:rsid w:val="00D86E66"/>
    <w:rsid w:val="00DA24A1"/>
    <w:rsid w:val="00DA3DAA"/>
    <w:rsid w:val="00DB1E98"/>
    <w:rsid w:val="00DB6DC6"/>
    <w:rsid w:val="00DE39D9"/>
    <w:rsid w:val="00DF309C"/>
    <w:rsid w:val="00DF6054"/>
    <w:rsid w:val="00DF62C4"/>
    <w:rsid w:val="00E06917"/>
    <w:rsid w:val="00E10419"/>
    <w:rsid w:val="00E129FA"/>
    <w:rsid w:val="00E23F66"/>
    <w:rsid w:val="00E423CB"/>
    <w:rsid w:val="00E42EA5"/>
    <w:rsid w:val="00E57752"/>
    <w:rsid w:val="00E638A7"/>
    <w:rsid w:val="00E809DA"/>
    <w:rsid w:val="00E84C31"/>
    <w:rsid w:val="00EA485B"/>
    <w:rsid w:val="00EB1DCB"/>
    <w:rsid w:val="00EB35C6"/>
    <w:rsid w:val="00EB537E"/>
    <w:rsid w:val="00EB569F"/>
    <w:rsid w:val="00ED141D"/>
    <w:rsid w:val="00EF6582"/>
    <w:rsid w:val="00F0672F"/>
    <w:rsid w:val="00F50BA1"/>
    <w:rsid w:val="00F62513"/>
    <w:rsid w:val="00F67ECB"/>
    <w:rsid w:val="00F73BE8"/>
    <w:rsid w:val="00F817C3"/>
    <w:rsid w:val="00FA7066"/>
    <w:rsid w:val="00FB0346"/>
    <w:rsid w:val="00FF5BAD"/>
    <w:rsid w:val="020A7B0A"/>
    <w:rsid w:val="024B393C"/>
    <w:rsid w:val="027C3C35"/>
    <w:rsid w:val="0346181B"/>
    <w:rsid w:val="034E462E"/>
    <w:rsid w:val="03F40357"/>
    <w:rsid w:val="04AA697D"/>
    <w:rsid w:val="04AE55BA"/>
    <w:rsid w:val="04F860E4"/>
    <w:rsid w:val="05AA7CDA"/>
    <w:rsid w:val="05B076B4"/>
    <w:rsid w:val="05E16024"/>
    <w:rsid w:val="068F600B"/>
    <w:rsid w:val="06D64C41"/>
    <w:rsid w:val="078900EE"/>
    <w:rsid w:val="07F07350"/>
    <w:rsid w:val="080043A0"/>
    <w:rsid w:val="080E687F"/>
    <w:rsid w:val="08AA4053"/>
    <w:rsid w:val="08C93F17"/>
    <w:rsid w:val="08D1193C"/>
    <w:rsid w:val="0A3405C6"/>
    <w:rsid w:val="0AFA4F6A"/>
    <w:rsid w:val="0B072F2E"/>
    <w:rsid w:val="0B1C4CD4"/>
    <w:rsid w:val="0B225603"/>
    <w:rsid w:val="0B3A66EF"/>
    <w:rsid w:val="0BF905EE"/>
    <w:rsid w:val="0CD82112"/>
    <w:rsid w:val="0CE15EF9"/>
    <w:rsid w:val="0CF6459D"/>
    <w:rsid w:val="0E610E7D"/>
    <w:rsid w:val="0EF73997"/>
    <w:rsid w:val="10212C6E"/>
    <w:rsid w:val="119C4352"/>
    <w:rsid w:val="11AD50DC"/>
    <w:rsid w:val="11AE75CE"/>
    <w:rsid w:val="11F45FDF"/>
    <w:rsid w:val="13143E31"/>
    <w:rsid w:val="14513CFA"/>
    <w:rsid w:val="14570ED7"/>
    <w:rsid w:val="15181897"/>
    <w:rsid w:val="157639FF"/>
    <w:rsid w:val="1628444D"/>
    <w:rsid w:val="16B31B11"/>
    <w:rsid w:val="16BA5F5F"/>
    <w:rsid w:val="171E3568"/>
    <w:rsid w:val="17B02039"/>
    <w:rsid w:val="17CE4B6B"/>
    <w:rsid w:val="185E7D02"/>
    <w:rsid w:val="192317DB"/>
    <w:rsid w:val="19392FC4"/>
    <w:rsid w:val="193F74A7"/>
    <w:rsid w:val="1A221021"/>
    <w:rsid w:val="1A222AF1"/>
    <w:rsid w:val="1A916F51"/>
    <w:rsid w:val="1B3A7E7D"/>
    <w:rsid w:val="1B4D5405"/>
    <w:rsid w:val="1B6C2501"/>
    <w:rsid w:val="1BE56027"/>
    <w:rsid w:val="1C7B6C47"/>
    <w:rsid w:val="1D4F117B"/>
    <w:rsid w:val="1D834C84"/>
    <w:rsid w:val="1DCB507D"/>
    <w:rsid w:val="1E5550D3"/>
    <w:rsid w:val="1E6778BE"/>
    <w:rsid w:val="1EA61302"/>
    <w:rsid w:val="1EC87491"/>
    <w:rsid w:val="1EF242C3"/>
    <w:rsid w:val="1F3B5615"/>
    <w:rsid w:val="1F7C2E55"/>
    <w:rsid w:val="1FE001D7"/>
    <w:rsid w:val="20356F0B"/>
    <w:rsid w:val="206324CB"/>
    <w:rsid w:val="211B41B7"/>
    <w:rsid w:val="217F41D4"/>
    <w:rsid w:val="21B42BC6"/>
    <w:rsid w:val="230A79D1"/>
    <w:rsid w:val="24350FBB"/>
    <w:rsid w:val="24A1752F"/>
    <w:rsid w:val="24D163FE"/>
    <w:rsid w:val="250C7013"/>
    <w:rsid w:val="25225D92"/>
    <w:rsid w:val="25883B09"/>
    <w:rsid w:val="25C15B94"/>
    <w:rsid w:val="260A1904"/>
    <w:rsid w:val="26466546"/>
    <w:rsid w:val="26CB0856"/>
    <w:rsid w:val="277A4323"/>
    <w:rsid w:val="277B0BB8"/>
    <w:rsid w:val="27E07F57"/>
    <w:rsid w:val="28321448"/>
    <w:rsid w:val="2847105C"/>
    <w:rsid w:val="28CA674B"/>
    <w:rsid w:val="2A064464"/>
    <w:rsid w:val="2AC11CD5"/>
    <w:rsid w:val="2AE332E2"/>
    <w:rsid w:val="2B100636"/>
    <w:rsid w:val="2B4D3F4D"/>
    <w:rsid w:val="2B897CAE"/>
    <w:rsid w:val="2C136BC2"/>
    <w:rsid w:val="2C2F08AC"/>
    <w:rsid w:val="2C315675"/>
    <w:rsid w:val="2C81012B"/>
    <w:rsid w:val="2C84221B"/>
    <w:rsid w:val="2C9101C2"/>
    <w:rsid w:val="2CBC3683"/>
    <w:rsid w:val="2D102378"/>
    <w:rsid w:val="2E1E73F7"/>
    <w:rsid w:val="2E5465E5"/>
    <w:rsid w:val="2E5B5C2A"/>
    <w:rsid w:val="2FF206A7"/>
    <w:rsid w:val="304D10AA"/>
    <w:rsid w:val="30913F21"/>
    <w:rsid w:val="30D407E4"/>
    <w:rsid w:val="30DB461E"/>
    <w:rsid w:val="316452E7"/>
    <w:rsid w:val="317E7C7B"/>
    <w:rsid w:val="31852EB5"/>
    <w:rsid w:val="32466536"/>
    <w:rsid w:val="32995542"/>
    <w:rsid w:val="330D192E"/>
    <w:rsid w:val="33392F08"/>
    <w:rsid w:val="33D60966"/>
    <w:rsid w:val="340F7FEA"/>
    <w:rsid w:val="348600FC"/>
    <w:rsid w:val="35004023"/>
    <w:rsid w:val="35600AA9"/>
    <w:rsid w:val="361E69D9"/>
    <w:rsid w:val="362C4EBA"/>
    <w:rsid w:val="37203EA5"/>
    <w:rsid w:val="37560866"/>
    <w:rsid w:val="375E76FA"/>
    <w:rsid w:val="37A647F0"/>
    <w:rsid w:val="37AE27CD"/>
    <w:rsid w:val="37D16230"/>
    <w:rsid w:val="38376BC6"/>
    <w:rsid w:val="383C6CBE"/>
    <w:rsid w:val="38F259C9"/>
    <w:rsid w:val="39362768"/>
    <w:rsid w:val="39425B37"/>
    <w:rsid w:val="3A661381"/>
    <w:rsid w:val="3AF3503C"/>
    <w:rsid w:val="3B630C3D"/>
    <w:rsid w:val="3B65596D"/>
    <w:rsid w:val="3B797DA4"/>
    <w:rsid w:val="3D1179D2"/>
    <w:rsid w:val="3D231305"/>
    <w:rsid w:val="3D81636D"/>
    <w:rsid w:val="3DB77D1D"/>
    <w:rsid w:val="3DF579D8"/>
    <w:rsid w:val="3DFF6963"/>
    <w:rsid w:val="3E3D61EA"/>
    <w:rsid w:val="3EF33161"/>
    <w:rsid w:val="3EF83B90"/>
    <w:rsid w:val="4031670C"/>
    <w:rsid w:val="410B2872"/>
    <w:rsid w:val="41333A79"/>
    <w:rsid w:val="41500E4F"/>
    <w:rsid w:val="41AA016A"/>
    <w:rsid w:val="42592A40"/>
    <w:rsid w:val="426F466F"/>
    <w:rsid w:val="42A332A5"/>
    <w:rsid w:val="435F3591"/>
    <w:rsid w:val="44353AC6"/>
    <w:rsid w:val="443F657C"/>
    <w:rsid w:val="44B25BEB"/>
    <w:rsid w:val="44E56129"/>
    <w:rsid w:val="453A2C11"/>
    <w:rsid w:val="461C5D63"/>
    <w:rsid w:val="46382338"/>
    <w:rsid w:val="464033D8"/>
    <w:rsid w:val="46B57AF3"/>
    <w:rsid w:val="47ED5FF7"/>
    <w:rsid w:val="480B7F00"/>
    <w:rsid w:val="48232336"/>
    <w:rsid w:val="48BC2E0D"/>
    <w:rsid w:val="48FD75C9"/>
    <w:rsid w:val="4957162E"/>
    <w:rsid w:val="4A1D38FA"/>
    <w:rsid w:val="4AC73112"/>
    <w:rsid w:val="4B2A15C7"/>
    <w:rsid w:val="4B661708"/>
    <w:rsid w:val="4B6A6F4D"/>
    <w:rsid w:val="4BF32593"/>
    <w:rsid w:val="4C220126"/>
    <w:rsid w:val="4C246736"/>
    <w:rsid w:val="4C2A6987"/>
    <w:rsid w:val="4C37003C"/>
    <w:rsid w:val="4CF14A6C"/>
    <w:rsid w:val="4D7F2B01"/>
    <w:rsid w:val="4DD06CC0"/>
    <w:rsid w:val="4DE82961"/>
    <w:rsid w:val="4E267996"/>
    <w:rsid w:val="4E28151B"/>
    <w:rsid w:val="4E734D78"/>
    <w:rsid w:val="4EA9021B"/>
    <w:rsid w:val="4EB13B24"/>
    <w:rsid w:val="4EE61098"/>
    <w:rsid w:val="4EFD1CB6"/>
    <w:rsid w:val="50A632B7"/>
    <w:rsid w:val="50C51CBE"/>
    <w:rsid w:val="50F4366B"/>
    <w:rsid w:val="51AE708C"/>
    <w:rsid w:val="51D716E7"/>
    <w:rsid w:val="51E10D49"/>
    <w:rsid w:val="5243339D"/>
    <w:rsid w:val="526F5E19"/>
    <w:rsid w:val="529A3032"/>
    <w:rsid w:val="531A511F"/>
    <w:rsid w:val="53C107AD"/>
    <w:rsid w:val="5420518B"/>
    <w:rsid w:val="5434018E"/>
    <w:rsid w:val="56347CCB"/>
    <w:rsid w:val="56514EBC"/>
    <w:rsid w:val="56571563"/>
    <w:rsid w:val="56821DFC"/>
    <w:rsid w:val="56896D93"/>
    <w:rsid w:val="569D356A"/>
    <w:rsid w:val="56B27B08"/>
    <w:rsid w:val="575C67C8"/>
    <w:rsid w:val="57976A28"/>
    <w:rsid w:val="57B6506B"/>
    <w:rsid w:val="58815CBD"/>
    <w:rsid w:val="58F96E77"/>
    <w:rsid w:val="59FB47B9"/>
    <w:rsid w:val="5A216F2C"/>
    <w:rsid w:val="5B1D34D3"/>
    <w:rsid w:val="5B4A20A9"/>
    <w:rsid w:val="5C480922"/>
    <w:rsid w:val="5C556D8A"/>
    <w:rsid w:val="5CC369C6"/>
    <w:rsid w:val="5D722EA7"/>
    <w:rsid w:val="5DF34BC6"/>
    <w:rsid w:val="5DF55108"/>
    <w:rsid w:val="5E6E1FDE"/>
    <w:rsid w:val="5EA161A3"/>
    <w:rsid w:val="5EE65914"/>
    <w:rsid w:val="5FAE00D2"/>
    <w:rsid w:val="5FDA00FB"/>
    <w:rsid w:val="60631FAA"/>
    <w:rsid w:val="60874C6B"/>
    <w:rsid w:val="60A81F46"/>
    <w:rsid w:val="60D85E0F"/>
    <w:rsid w:val="612A246B"/>
    <w:rsid w:val="61312E5D"/>
    <w:rsid w:val="615A7526"/>
    <w:rsid w:val="615D25F8"/>
    <w:rsid w:val="619F5B97"/>
    <w:rsid w:val="61CB6A75"/>
    <w:rsid w:val="620C32F6"/>
    <w:rsid w:val="62407B50"/>
    <w:rsid w:val="62877D16"/>
    <w:rsid w:val="634218C4"/>
    <w:rsid w:val="634611C0"/>
    <w:rsid w:val="642D6FF9"/>
    <w:rsid w:val="654A0B5A"/>
    <w:rsid w:val="657A2154"/>
    <w:rsid w:val="65E409A0"/>
    <w:rsid w:val="665B3A58"/>
    <w:rsid w:val="668C4686"/>
    <w:rsid w:val="669367D6"/>
    <w:rsid w:val="66B746C3"/>
    <w:rsid w:val="67903894"/>
    <w:rsid w:val="67D20B1B"/>
    <w:rsid w:val="6857377C"/>
    <w:rsid w:val="68AB31DC"/>
    <w:rsid w:val="6A364BE1"/>
    <w:rsid w:val="6B445A1B"/>
    <w:rsid w:val="6BA9587C"/>
    <w:rsid w:val="6BB92BB6"/>
    <w:rsid w:val="6C44519D"/>
    <w:rsid w:val="6CE125B2"/>
    <w:rsid w:val="6CF86118"/>
    <w:rsid w:val="6D065B5B"/>
    <w:rsid w:val="6D9E395D"/>
    <w:rsid w:val="6DB64D08"/>
    <w:rsid w:val="6DBB501B"/>
    <w:rsid w:val="6DCF6D1E"/>
    <w:rsid w:val="6DED0D1D"/>
    <w:rsid w:val="6F320E62"/>
    <w:rsid w:val="70B57D94"/>
    <w:rsid w:val="70D277EC"/>
    <w:rsid w:val="70F07BBF"/>
    <w:rsid w:val="71A934D8"/>
    <w:rsid w:val="71D87085"/>
    <w:rsid w:val="72525072"/>
    <w:rsid w:val="729E4D5D"/>
    <w:rsid w:val="72E3109C"/>
    <w:rsid w:val="736D4ABA"/>
    <w:rsid w:val="73E00ECB"/>
    <w:rsid w:val="74714754"/>
    <w:rsid w:val="74772066"/>
    <w:rsid w:val="754A6AB4"/>
    <w:rsid w:val="75701FB4"/>
    <w:rsid w:val="7621174B"/>
    <w:rsid w:val="762C2F54"/>
    <w:rsid w:val="77063487"/>
    <w:rsid w:val="77594326"/>
    <w:rsid w:val="77AB31E8"/>
    <w:rsid w:val="787B499B"/>
    <w:rsid w:val="78CA24B9"/>
    <w:rsid w:val="7A3825A9"/>
    <w:rsid w:val="7A5705EF"/>
    <w:rsid w:val="7ADD785D"/>
    <w:rsid w:val="7AEF30AB"/>
    <w:rsid w:val="7BEE4C4A"/>
    <w:rsid w:val="7BFA062F"/>
    <w:rsid w:val="7BFB2F98"/>
    <w:rsid w:val="7CAF3E57"/>
    <w:rsid w:val="7E5E675C"/>
    <w:rsid w:val="7E693132"/>
    <w:rsid w:val="7ED64319"/>
    <w:rsid w:val="7F393B6E"/>
    <w:rsid w:val="7FA3253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Body Text Indent 3" w:semiHidden="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semiHidden="0" w:unhideWhenUsed="0" w:qFormat="1"/>
    <w:lsdException w:name="Normal (Web)" w:semiHidden="0" w:unhideWhenUsed="0" w:qFormat="1"/>
    <w:lsdException w:name="HTML Cite" w:semiHidden="0" w:unhideWhenUsed="0" w:qFormat="1"/>
    <w:lsdException w:name="HTML Definition" w:semiHidden="0" w:unhideWhenUsed="0" w:qFormat="1"/>
    <w:lsdException w:name="HTML Variable" w:semiHidden="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BB9"/>
    <w:pPr>
      <w:widowControl w:val="0"/>
      <w:jc w:val="both"/>
    </w:pPr>
    <w:rPr>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92BB9"/>
    <w:rPr>
      <w:sz w:val="18"/>
      <w:szCs w:val="18"/>
    </w:rPr>
  </w:style>
  <w:style w:type="paragraph" w:styleId="a4">
    <w:name w:val="footer"/>
    <w:basedOn w:val="a"/>
    <w:link w:val="Char0"/>
    <w:uiPriority w:val="99"/>
    <w:qFormat/>
    <w:rsid w:val="00092BB9"/>
    <w:pPr>
      <w:tabs>
        <w:tab w:val="center" w:pos="4153"/>
        <w:tab w:val="right" w:pos="8306"/>
      </w:tabs>
      <w:snapToGrid w:val="0"/>
      <w:jc w:val="left"/>
    </w:pPr>
    <w:rPr>
      <w:rFonts w:ascii="Calibri" w:hAnsi="Calibri"/>
      <w:sz w:val="18"/>
      <w:szCs w:val="18"/>
    </w:rPr>
  </w:style>
  <w:style w:type="paragraph" w:styleId="a5">
    <w:name w:val="header"/>
    <w:basedOn w:val="a"/>
    <w:link w:val="Char1"/>
    <w:uiPriority w:val="99"/>
    <w:qFormat/>
    <w:rsid w:val="00092BB9"/>
    <w:pPr>
      <w:pBdr>
        <w:bottom w:val="single" w:sz="6" w:space="1" w:color="auto"/>
      </w:pBdr>
      <w:tabs>
        <w:tab w:val="center" w:pos="4153"/>
        <w:tab w:val="right" w:pos="8306"/>
      </w:tabs>
      <w:snapToGrid w:val="0"/>
      <w:jc w:val="center"/>
    </w:pPr>
    <w:rPr>
      <w:rFonts w:ascii="Calibri" w:hAnsi="Calibri"/>
      <w:sz w:val="18"/>
      <w:szCs w:val="18"/>
    </w:rPr>
  </w:style>
  <w:style w:type="paragraph" w:styleId="3">
    <w:name w:val="Body Text Indent 3"/>
    <w:basedOn w:val="a"/>
    <w:link w:val="3Char"/>
    <w:uiPriority w:val="99"/>
    <w:qFormat/>
    <w:rsid w:val="00092BB9"/>
    <w:pPr>
      <w:ind w:leftChars="114" w:left="239" w:firstLineChars="200" w:firstLine="600"/>
    </w:pPr>
    <w:rPr>
      <w:rFonts w:ascii="??_GB2312" w:eastAsia="Times New Roman" w:hAnsi="宋体"/>
      <w:color w:val="FF0000"/>
    </w:rPr>
  </w:style>
  <w:style w:type="paragraph" w:styleId="a6">
    <w:name w:val="Normal (Web)"/>
    <w:basedOn w:val="a"/>
    <w:uiPriority w:val="99"/>
    <w:qFormat/>
    <w:rsid w:val="00092BB9"/>
    <w:pPr>
      <w:jc w:val="left"/>
    </w:pPr>
    <w:rPr>
      <w:kern w:val="0"/>
      <w:sz w:val="24"/>
    </w:rPr>
  </w:style>
  <w:style w:type="character" w:styleId="a7">
    <w:name w:val="page number"/>
    <w:basedOn w:val="a0"/>
    <w:uiPriority w:val="99"/>
    <w:qFormat/>
    <w:rsid w:val="00092BB9"/>
    <w:rPr>
      <w:rFonts w:cs="Times New Roman"/>
    </w:rPr>
  </w:style>
  <w:style w:type="character" w:styleId="a8">
    <w:name w:val="FollowedHyperlink"/>
    <w:basedOn w:val="a0"/>
    <w:uiPriority w:val="99"/>
    <w:qFormat/>
    <w:rsid w:val="00092BB9"/>
    <w:rPr>
      <w:rFonts w:cs="Times New Roman"/>
      <w:color w:val="555555"/>
      <w:u w:val="none"/>
    </w:rPr>
  </w:style>
  <w:style w:type="character" w:styleId="a9">
    <w:name w:val="Emphasis"/>
    <w:basedOn w:val="a0"/>
    <w:uiPriority w:val="99"/>
    <w:qFormat/>
    <w:rsid w:val="00092BB9"/>
    <w:rPr>
      <w:rFonts w:cs="Times New Roman"/>
    </w:rPr>
  </w:style>
  <w:style w:type="character" w:styleId="HTML">
    <w:name w:val="HTML Definition"/>
    <w:basedOn w:val="a0"/>
    <w:uiPriority w:val="99"/>
    <w:qFormat/>
    <w:rsid w:val="00092BB9"/>
    <w:rPr>
      <w:rFonts w:cs="Times New Roman"/>
    </w:rPr>
  </w:style>
  <w:style w:type="character" w:styleId="HTML0">
    <w:name w:val="HTML Variable"/>
    <w:basedOn w:val="a0"/>
    <w:uiPriority w:val="99"/>
    <w:qFormat/>
    <w:rsid w:val="00092BB9"/>
    <w:rPr>
      <w:rFonts w:cs="Times New Roman"/>
    </w:rPr>
  </w:style>
  <w:style w:type="character" w:styleId="aa">
    <w:name w:val="Hyperlink"/>
    <w:basedOn w:val="a0"/>
    <w:uiPriority w:val="99"/>
    <w:qFormat/>
    <w:rsid w:val="00092BB9"/>
    <w:rPr>
      <w:rFonts w:cs="Times New Roman"/>
      <w:color w:val="555555"/>
      <w:u w:val="none"/>
    </w:rPr>
  </w:style>
  <w:style w:type="character" w:styleId="HTML1">
    <w:name w:val="HTML Cite"/>
    <w:basedOn w:val="a0"/>
    <w:uiPriority w:val="99"/>
    <w:qFormat/>
    <w:rsid w:val="00092BB9"/>
    <w:rPr>
      <w:rFonts w:cs="Times New Roman"/>
    </w:rPr>
  </w:style>
  <w:style w:type="character" w:customStyle="1" w:styleId="Char0">
    <w:name w:val="页脚 Char"/>
    <w:basedOn w:val="a0"/>
    <w:link w:val="a4"/>
    <w:uiPriority w:val="99"/>
    <w:semiHidden/>
    <w:qFormat/>
    <w:locked/>
    <w:rsid w:val="00092BB9"/>
    <w:rPr>
      <w:rFonts w:cs="Times New Roman"/>
      <w:sz w:val="18"/>
      <w:szCs w:val="18"/>
    </w:rPr>
  </w:style>
  <w:style w:type="character" w:customStyle="1" w:styleId="Char1">
    <w:name w:val="页眉 Char"/>
    <w:basedOn w:val="a0"/>
    <w:link w:val="a5"/>
    <w:uiPriority w:val="99"/>
    <w:semiHidden/>
    <w:qFormat/>
    <w:locked/>
    <w:rsid w:val="00092BB9"/>
    <w:rPr>
      <w:rFonts w:cs="Times New Roman"/>
      <w:sz w:val="18"/>
      <w:szCs w:val="18"/>
    </w:rPr>
  </w:style>
  <w:style w:type="character" w:customStyle="1" w:styleId="3Char">
    <w:name w:val="正文文本缩进 3 Char"/>
    <w:basedOn w:val="a0"/>
    <w:link w:val="3"/>
    <w:uiPriority w:val="99"/>
    <w:qFormat/>
    <w:locked/>
    <w:rsid w:val="00092BB9"/>
    <w:rPr>
      <w:rFonts w:ascii="??_GB2312" w:eastAsia="Times New Roman" w:hAnsi="宋体" w:cs="Times New Roman"/>
      <w:color w:val="FF0000"/>
      <w:sz w:val="24"/>
      <w:szCs w:val="24"/>
    </w:rPr>
  </w:style>
  <w:style w:type="paragraph" w:customStyle="1" w:styleId="Char2">
    <w:name w:val="Char"/>
    <w:basedOn w:val="a"/>
    <w:uiPriority w:val="99"/>
    <w:qFormat/>
    <w:rsid w:val="00092BB9"/>
    <w:pPr>
      <w:adjustRightInd w:val="0"/>
      <w:spacing w:line="360" w:lineRule="auto"/>
    </w:pPr>
    <w:rPr>
      <w:szCs w:val="20"/>
    </w:rPr>
  </w:style>
  <w:style w:type="character" w:customStyle="1" w:styleId="Char">
    <w:name w:val="批注框文本 Char"/>
    <w:basedOn w:val="a0"/>
    <w:link w:val="a3"/>
    <w:uiPriority w:val="99"/>
    <w:semiHidden/>
    <w:rsid w:val="00092BB9"/>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7</Pages>
  <Words>487</Words>
  <Characters>2781</Characters>
  <Application>Microsoft Office Word</Application>
  <DocSecurity>0</DocSecurity>
  <Lines>23</Lines>
  <Paragraphs>6</Paragraphs>
  <ScaleCrop>false</ScaleCrop>
  <Company>Microsoft</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lenovo</cp:lastModifiedBy>
  <cp:revision>119</cp:revision>
  <cp:lastPrinted>2021-03-05T08:56:00Z</cp:lastPrinted>
  <dcterms:created xsi:type="dcterms:W3CDTF">2016-03-01T07:14:00Z</dcterms:created>
  <dcterms:modified xsi:type="dcterms:W3CDTF">2022-04-18T02:11:00Z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