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STFangsong" w:hAnsi="STFangsong" w:eastAsia="STFangsong" w:cs="宋体"/>
          <w:b/>
          <w:kern w:val="0"/>
          <w:sz w:val="32"/>
          <w:szCs w:val="32"/>
        </w:rPr>
      </w:pPr>
      <w:r>
        <w:rPr>
          <w:rFonts w:ascii="STFangsong" w:hAnsi="STFangsong" w:eastAsia="STFangsong" w:cs="宋体"/>
          <w:b/>
          <w:kern w:val="0"/>
          <w:sz w:val="32"/>
          <w:szCs w:val="32"/>
        </w:rPr>
        <w:t>20</w:t>
      </w:r>
      <w:r>
        <w:rPr>
          <w:rFonts w:hint="eastAsia" w:ascii="STFangsong" w:hAnsi="STFangsong" w:eastAsia="STFangsong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STFangsong" w:hAnsi="STFangsong" w:eastAsia="STFangsong" w:cs="宋体"/>
          <w:b/>
          <w:kern w:val="0"/>
          <w:sz w:val="32"/>
          <w:szCs w:val="32"/>
        </w:rPr>
        <w:t>年度人力资源和社会保障厅部门整体绩效自评表</w:t>
      </w:r>
    </w:p>
    <w:p>
      <w:pPr>
        <w:widowControl/>
        <w:jc w:val="center"/>
        <w:rPr>
          <w:rFonts w:hint="eastAsia" w:ascii="STFangsong" w:hAnsi="STFangsong" w:eastAsia="STFangsong" w:cs="宋体"/>
          <w:b/>
          <w:kern w:val="0"/>
          <w:sz w:val="28"/>
          <w:szCs w:val="28"/>
        </w:rPr>
      </w:pPr>
    </w:p>
    <w:p>
      <w:pPr>
        <w:widowControl/>
        <w:jc w:val="right"/>
        <w:rPr>
          <w:rFonts w:ascii="楷体" w:hAnsi="楷体" w:eastAsia="楷体" w:cs="宋体"/>
          <w:kern w:val="0"/>
          <w:sz w:val="24"/>
          <w:szCs w:val="20"/>
        </w:rPr>
      </w:pP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ascii="楷体" w:hAnsi="楷体" w:eastAsia="楷体" w:cs="宋体"/>
          <w:kern w:val="0"/>
          <w:sz w:val="24"/>
          <w:szCs w:val="20"/>
        </w:rPr>
        <w:tab/>
      </w:r>
      <w:r>
        <w:rPr>
          <w:rFonts w:hint="eastAsia" w:ascii="楷体" w:hAnsi="楷体" w:eastAsia="楷体" w:cs="宋体"/>
          <w:kern w:val="0"/>
          <w:sz w:val="24"/>
          <w:szCs w:val="20"/>
          <w:lang w:val="en-US" w:eastAsia="zh-CN"/>
        </w:rPr>
        <w:t xml:space="preserve">   </w:t>
      </w:r>
    </w:p>
    <w:tbl>
      <w:tblPr>
        <w:tblStyle w:val="8"/>
        <w:tblW w:w="9248" w:type="dxa"/>
        <w:tblInd w:w="10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37"/>
        <w:gridCol w:w="1328"/>
        <w:gridCol w:w="1230"/>
        <w:gridCol w:w="1201"/>
        <w:gridCol w:w="1257"/>
        <w:gridCol w:w="819"/>
        <w:gridCol w:w="871"/>
        <w:gridCol w:w="118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湖北省人力资源和社会保障厅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项目支出总额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25,944.02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预算执行情况（万元）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预算数（A）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执行数（B）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执行率（B/A）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得分（20分*执行率）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部门整体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支出总额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50,919.19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44,806.56 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88.00%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年度目标1：（15分）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创新促进就业创业的体制机制，政府促进就业的责任制度进一步健全，公共就业创业及人才服务体系进一步完善。城镇登记失业率控制在5%以内。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年初目标值（A）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实际完成值（B）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城镇新增就业人数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70万人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75.18万人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大学生创业扶持项目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500个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招聘会提供就业岗位数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6万个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线下6.8万个，线上29万个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举办专场招聘会场次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线下5场，线上116场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年末城镇登记失业率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低于4.5%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3.35%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年度绩效目标2（6分）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完善社会保障体系，推进社会保险法定人员全覆盖。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失业保险参保人数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607万人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651.31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工伤保险参保人数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712万人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752.43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机关事业养老保险参保人数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215万人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年度绩效目标3（11分）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创新人才工作机制，健全人才管理体制。企业博士后创新岗位设立完成率达到100%。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招收博士后人数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企业博士后创新岗位设立完成率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高技能人才占技能人才比例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年度绩效目标4（23分）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提升人事管理综合效能。通过不断深化事业单位人事制度改革，进一步激发事业发展活力，事业单位聘用制合同签订率和岗位公开招聘率达到100%。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高级职称评审人数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1.6万人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2万人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培训职称工作人员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人事档案利用率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事业单位岗位聘用制合同签订率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事业单位新进人员岗位公开招聘率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人事考试安全率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年度绩效目标5（25分）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劳动关系协调、矛盾调处和权益保障制度体系进一步完善，劳动关系矛盾纠纷得到有效化解。劳动保障违法案件办结率达到100%，劳动人事争议仲裁结案率达到90%。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劳动保障监察员资格培训人数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170人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劳动保障违法案件办结完成率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企业劳动合同签订率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92%以上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92%以上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劳动保障监察举报投诉结案率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劳动人事争议调解成功率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68.37%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劳动人事争议仲裁结案率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97%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95.48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偏差大或目标未完成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原因分析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执行偏低主要原因：纳入专户管理的事业收入、其他收入、上年结余和事业基金预算执行较低，影响了部门整体预算执行率。具体表现：1.受疫情影响，专户管理的事业收入实际学费收入只有2300万元，因上半年未开学，部分项目未执行。2.上年结余，主要是原劳动就业管理局因工作计划改变，将结余资金调整用于弥补2021年人员及公用经费缺口；因体制改革，职业技能鉴定中心水平类评价考试退出，相应费用减少，预算租赁费25万元、印刷费20万元、大赛宣传10万元等都没有用使用结余资金；因财政政策缩紧，武汉铁路技师学院年初预计上年结转660万元，财政实际只下达结转指标32.7万元，导致执行率低。3.省人事考试院动用事业基金主要用于上缴中央考试单位教务费，因部分中央考试单位未提供完整的应上缴教务费数据，部分考试教务费暂时未完成上缴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预算绩效目标执行未完成情况：(1)机关事业养老保险参保人数年初目标值为215万人,2020年实际机关事业养老保险参保人数132.29万元，年度目标未完成。未完成原因：目标预计过高。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（2）招收博士后人数年初目标值为1000人，2020年实际招收博士后904人，年度目标未完成。未完成原因：受新冠肺炎疫情影响，博士后进站人数减少，不达预期。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（3）劳动保障监察员资格培训人数年初目标值为170人，2020年实际劳动保障监察员资格培训人数80人，年度目标未完成。未完成原因：疫情影响，调减培训计划。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改进措施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及结果应用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方案</w:t>
            </w:r>
          </w:p>
        </w:tc>
        <w:tc>
          <w:tcPr>
            <w:tcW w:w="7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1.加强新冠肺炎疫情过后工作统筹谋划，合理安排预算支出结构。对于受疫情影响的工作，要提前谋划，合理测算各项经费预算和绩效目标。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2.落实定期通报预算执行情况制度，定期向各部门和分管厅领导通报预算执行情况，督促各部门加快预算执行进度、提高预算执行率和绩效目标实现程度。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3.进一步提高绩效目标和指标设置的合理性和预见性，避免目标设置过高或过低，适当增加压力性指标。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4.进一步加强评价结果应用，将执行情况和绩效目标实现情况与下年度部门预算资金分配相挂钩。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1.预算执行情况口径:预算数为调整后财政资金总额（包括上年结余结转），执行数为资金使用单位财政资金实际支出数。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⒉.定量指标完成数汇总原则:绝对值直接累加计算，相对值按照资金额度加权平均计算。定量指标计分原则:正向指标（即目标值为≥X,得分=权重*B/A)，反向指标（即目标值为小于等于X，得分=权重*A/B)，得分不得突破权重总额。定量指标先汇总完成数，再计算得分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3.定性指标计分原则:达成预期指标、部分达成预期指标并具有一定效果、未达成预期指标且效果较差三档，分别按照该指标对应分值区间100-80%(含80%）、80-50%(含50%) 、50-0%合理确定分值。汇总时，以资金额度为权重，对分值进行加权平均计算。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4.基于经济性和必要性等因素考虑，满意度指标暂可不作为必评指标。</w:t>
            </w:r>
          </w:p>
        </w:tc>
      </w:tr>
    </w:tbl>
    <w:p>
      <w:pPr>
        <w:ind w:firstLine="600" w:firstLineChars="200"/>
        <w:rPr>
          <w:rFonts w:hint="eastAsia" w:ascii="楷体_GB2312" w:hAnsi="楷体" w:eastAsia="楷体_GB2312" w:cs="楷体_GB2312"/>
          <w:sz w:val="30"/>
          <w:szCs w:val="30"/>
        </w:rPr>
      </w:pPr>
    </w:p>
    <w:p>
      <w:pPr>
        <w:ind w:firstLine="480" w:firstLineChars="200"/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1"/>
    <w:rsid w:val="00017730"/>
    <w:rsid w:val="00047AC5"/>
    <w:rsid w:val="000534D5"/>
    <w:rsid w:val="0007264B"/>
    <w:rsid w:val="0007611E"/>
    <w:rsid w:val="0009256E"/>
    <w:rsid w:val="000B0AE2"/>
    <w:rsid w:val="000D7028"/>
    <w:rsid w:val="000E06DF"/>
    <w:rsid w:val="000F36E7"/>
    <w:rsid w:val="000F3962"/>
    <w:rsid w:val="00116063"/>
    <w:rsid w:val="00121451"/>
    <w:rsid w:val="00121DF2"/>
    <w:rsid w:val="001256F2"/>
    <w:rsid w:val="00137138"/>
    <w:rsid w:val="001401C4"/>
    <w:rsid w:val="001621BA"/>
    <w:rsid w:val="00190AC1"/>
    <w:rsid w:val="0019107A"/>
    <w:rsid w:val="00193EF1"/>
    <w:rsid w:val="00197CF4"/>
    <w:rsid w:val="001A15E2"/>
    <w:rsid w:val="001A2B16"/>
    <w:rsid w:val="001C1A80"/>
    <w:rsid w:val="00217563"/>
    <w:rsid w:val="00235E9C"/>
    <w:rsid w:val="00237BBE"/>
    <w:rsid w:val="002443D0"/>
    <w:rsid w:val="00265A49"/>
    <w:rsid w:val="00277771"/>
    <w:rsid w:val="00284243"/>
    <w:rsid w:val="00291011"/>
    <w:rsid w:val="002933F4"/>
    <w:rsid w:val="002972B6"/>
    <w:rsid w:val="002A4002"/>
    <w:rsid w:val="002B4937"/>
    <w:rsid w:val="002C2670"/>
    <w:rsid w:val="002E5E6E"/>
    <w:rsid w:val="0031705B"/>
    <w:rsid w:val="00324A75"/>
    <w:rsid w:val="003356FD"/>
    <w:rsid w:val="0034229A"/>
    <w:rsid w:val="00377259"/>
    <w:rsid w:val="00382438"/>
    <w:rsid w:val="00395D6B"/>
    <w:rsid w:val="003B28F2"/>
    <w:rsid w:val="003D7AB4"/>
    <w:rsid w:val="003E2626"/>
    <w:rsid w:val="004026EA"/>
    <w:rsid w:val="00412275"/>
    <w:rsid w:val="0042383A"/>
    <w:rsid w:val="004805F5"/>
    <w:rsid w:val="00483141"/>
    <w:rsid w:val="00497E80"/>
    <w:rsid w:val="004B48B8"/>
    <w:rsid w:val="004E0883"/>
    <w:rsid w:val="004E7318"/>
    <w:rsid w:val="004F1B82"/>
    <w:rsid w:val="004F47B5"/>
    <w:rsid w:val="004F69BE"/>
    <w:rsid w:val="005276B1"/>
    <w:rsid w:val="005278B8"/>
    <w:rsid w:val="00535CFF"/>
    <w:rsid w:val="005409FF"/>
    <w:rsid w:val="0054121C"/>
    <w:rsid w:val="00560652"/>
    <w:rsid w:val="00582BEC"/>
    <w:rsid w:val="00594F81"/>
    <w:rsid w:val="005A02AF"/>
    <w:rsid w:val="005A12FA"/>
    <w:rsid w:val="005B7941"/>
    <w:rsid w:val="005C3D84"/>
    <w:rsid w:val="005C7307"/>
    <w:rsid w:val="00626DE8"/>
    <w:rsid w:val="006339F5"/>
    <w:rsid w:val="00642C25"/>
    <w:rsid w:val="00646A78"/>
    <w:rsid w:val="00662EFA"/>
    <w:rsid w:val="006652D2"/>
    <w:rsid w:val="00671B0D"/>
    <w:rsid w:val="006A6842"/>
    <w:rsid w:val="006A6950"/>
    <w:rsid w:val="006B3813"/>
    <w:rsid w:val="006C1C98"/>
    <w:rsid w:val="006D52C9"/>
    <w:rsid w:val="006E07C1"/>
    <w:rsid w:val="007013C5"/>
    <w:rsid w:val="00702089"/>
    <w:rsid w:val="0071086E"/>
    <w:rsid w:val="0071585B"/>
    <w:rsid w:val="00731168"/>
    <w:rsid w:val="00737943"/>
    <w:rsid w:val="00766ABC"/>
    <w:rsid w:val="007A0FCB"/>
    <w:rsid w:val="007A4C07"/>
    <w:rsid w:val="007D65D1"/>
    <w:rsid w:val="007E1EF8"/>
    <w:rsid w:val="007F3E74"/>
    <w:rsid w:val="008168EC"/>
    <w:rsid w:val="0083019D"/>
    <w:rsid w:val="0088275E"/>
    <w:rsid w:val="00891949"/>
    <w:rsid w:val="008A3FFF"/>
    <w:rsid w:val="008B7CAD"/>
    <w:rsid w:val="008D66F3"/>
    <w:rsid w:val="008F6758"/>
    <w:rsid w:val="00905D1F"/>
    <w:rsid w:val="009256B2"/>
    <w:rsid w:val="00932CA4"/>
    <w:rsid w:val="009617AE"/>
    <w:rsid w:val="00966B35"/>
    <w:rsid w:val="009917C4"/>
    <w:rsid w:val="00997E06"/>
    <w:rsid w:val="009A3949"/>
    <w:rsid w:val="009A5C3B"/>
    <w:rsid w:val="009D4C49"/>
    <w:rsid w:val="009E50DD"/>
    <w:rsid w:val="009F321B"/>
    <w:rsid w:val="009F5694"/>
    <w:rsid w:val="00A008AB"/>
    <w:rsid w:val="00A03975"/>
    <w:rsid w:val="00A339A4"/>
    <w:rsid w:val="00A457C8"/>
    <w:rsid w:val="00A47ABA"/>
    <w:rsid w:val="00A66BA8"/>
    <w:rsid w:val="00A76A95"/>
    <w:rsid w:val="00A93FB7"/>
    <w:rsid w:val="00AA4027"/>
    <w:rsid w:val="00AC7C5C"/>
    <w:rsid w:val="00AE7CE0"/>
    <w:rsid w:val="00AF137E"/>
    <w:rsid w:val="00AF3C60"/>
    <w:rsid w:val="00B0368D"/>
    <w:rsid w:val="00B43D8C"/>
    <w:rsid w:val="00B630BC"/>
    <w:rsid w:val="00B76022"/>
    <w:rsid w:val="00BA516D"/>
    <w:rsid w:val="00BB3991"/>
    <w:rsid w:val="00BD608D"/>
    <w:rsid w:val="00BF2DB2"/>
    <w:rsid w:val="00BF4973"/>
    <w:rsid w:val="00C26407"/>
    <w:rsid w:val="00C309E1"/>
    <w:rsid w:val="00C35E40"/>
    <w:rsid w:val="00C67FDA"/>
    <w:rsid w:val="00C7385E"/>
    <w:rsid w:val="00C85D57"/>
    <w:rsid w:val="00CA2356"/>
    <w:rsid w:val="00CD1DCF"/>
    <w:rsid w:val="00CD62B6"/>
    <w:rsid w:val="00CD7F4B"/>
    <w:rsid w:val="00CF4DC3"/>
    <w:rsid w:val="00D06E5E"/>
    <w:rsid w:val="00D1207B"/>
    <w:rsid w:val="00D1591D"/>
    <w:rsid w:val="00D20D3F"/>
    <w:rsid w:val="00D2782A"/>
    <w:rsid w:val="00D3440F"/>
    <w:rsid w:val="00D60132"/>
    <w:rsid w:val="00D610E0"/>
    <w:rsid w:val="00D632EF"/>
    <w:rsid w:val="00D7446A"/>
    <w:rsid w:val="00D74E52"/>
    <w:rsid w:val="00D75151"/>
    <w:rsid w:val="00DA5555"/>
    <w:rsid w:val="00DA6C3C"/>
    <w:rsid w:val="00E029DE"/>
    <w:rsid w:val="00E17C8C"/>
    <w:rsid w:val="00E21580"/>
    <w:rsid w:val="00E331C2"/>
    <w:rsid w:val="00E375A5"/>
    <w:rsid w:val="00E461ED"/>
    <w:rsid w:val="00E6166F"/>
    <w:rsid w:val="00E74D64"/>
    <w:rsid w:val="00EA7A9B"/>
    <w:rsid w:val="00EB5306"/>
    <w:rsid w:val="00EC1AEF"/>
    <w:rsid w:val="00ED5740"/>
    <w:rsid w:val="00EE5211"/>
    <w:rsid w:val="00F35532"/>
    <w:rsid w:val="00F414EE"/>
    <w:rsid w:val="00F7308E"/>
    <w:rsid w:val="00F77BA7"/>
    <w:rsid w:val="00F82905"/>
    <w:rsid w:val="00F83B2E"/>
    <w:rsid w:val="00FC37CB"/>
    <w:rsid w:val="00FD3BC0"/>
    <w:rsid w:val="06B9089E"/>
    <w:rsid w:val="072F3A85"/>
    <w:rsid w:val="0A0D2749"/>
    <w:rsid w:val="0D726E21"/>
    <w:rsid w:val="12AB5DCE"/>
    <w:rsid w:val="12D43BE4"/>
    <w:rsid w:val="161E13E2"/>
    <w:rsid w:val="1B303F7D"/>
    <w:rsid w:val="1BF61933"/>
    <w:rsid w:val="1C526E2C"/>
    <w:rsid w:val="20396E9D"/>
    <w:rsid w:val="21780E2E"/>
    <w:rsid w:val="21882388"/>
    <w:rsid w:val="230E4325"/>
    <w:rsid w:val="23E16DF6"/>
    <w:rsid w:val="24C9663F"/>
    <w:rsid w:val="25AB5F89"/>
    <w:rsid w:val="2A5027BA"/>
    <w:rsid w:val="30DE47AF"/>
    <w:rsid w:val="33661FEE"/>
    <w:rsid w:val="34C8575D"/>
    <w:rsid w:val="35197F7B"/>
    <w:rsid w:val="35516F11"/>
    <w:rsid w:val="379C03A8"/>
    <w:rsid w:val="3809738C"/>
    <w:rsid w:val="39547EF6"/>
    <w:rsid w:val="3BD73CE6"/>
    <w:rsid w:val="3D4C03A2"/>
    <w:rsid w:val="3F000DD4"/>
    <w:rsid w:val="3F9D167D"/>
    <w:rsid w:val="4159677A"/>
    <w:rsid w:val="41A215CD"/>
    <w:rsid w:val="4F4158F4"/>
    <w:rsid w:val="519259EE"/>
    <w:rsid w:val="520C12D1"/>
    <w:rsid w:val="53342999"/>
    <w:rsid w:val="53B86170"/>
    <w:rsid w:val="54471610"/>
    <w:rsid w:val="55B63C8D"/>
    <w:rsid w:val="588728A2"/>
    <w:rsid w:val="5A8B2F5F"/>
    <w:rsid w:val="5E995976"/>
    <w:rsid w:val="5F4D5151"/>
    <w:rsid w:val="6409235C"/>
    <w:rsid w:val="67AC08FA"/>
    <w:rsid w:val="68A437C8"/>
    <w:rsid w:val="68A95CDC"/>
    <w:rsid w:val="6CC55DF8"/>
    <w:rsid w:val="70A10243"/>
    <w:rsid w:val="70A5138E"/>
    <w:rsid w:val="72BC1F67"/>
    <w:rsid w:val="75797BA9"/>
    <w:rsid w:val="760136EA"/>
    <w:rsid w:val="778D1C2C"/>
    <w:rsid w:val="7A323FF9"/>
    <w:rsid w:val="7A9C4EB9"/>
    <w:rsid w:val="7DC6319E"/>
    <w:rsid w:val="7E7A6E02"/>
    <w:rsid w:val="7F1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</w:style>
  <w:style w:type="paragraph" w:styleId="3">
    <w:name w:val="toc 5"/>
    <w:basedOn w:val="1"/>
    <w:next w:val="1"/>
    <w:unhideWhenUsed/>
    <w:uiPriority w:val="39"/>
    <w:pPr>
      <w:ind w:left="168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2">
    <w:name w:val="二标题"/>
    <w:basedOn w:val="1"/>
    <w:link w:val="13"/>
    <w:qFormat/>
    <w:uiPriority w:val="0"/>
    <w:pPr>
      <w:jc w:val="center"/>
      <w:outlineLvl w:val="0"/>
    </w:pPr>
    <w:rPr>
      <w:rFonts w:ascii="宋体" w:hAnsi="宋体" w:eastAsia="宋体"/>
      <w:b/>
      <w:sz w:val="52"/>
      <w:szCs w:val="52"/>
    </w:rPr>
  </w:style>
  <w:style w:type="character" w:customStyle="1" w:styleId="13">
    <w:name w:val="二标题 字符"/>
    <w:basedOn w:val="7"/>
    <w:link w:val="12"/>
    <w:qFormat/>
    <w:uiPriority w:val="0"/>
    <w:rPr>
      <w:rFonts w:ascii="宋体" w:hAnsi="宋体" w:eastAsia="宋体"/>
      <w:b/>
      <w:sz w:val="52"/>
      <w:szCs w:val="52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表段落2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Char1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B1B11-AA20-4AE0-8B00-D589D5879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2233</Words>
  <Characters>12733</Characters>
  <Lines>106</Lines>
  <Paragraphs>29</Paragraphs>
  <ScaleCrop>false</ScaleCrop>
  <LinksUpToDate>false</LinksUpToDate>
  <CharactersWithSpaces>14937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2020-06-04T04:11:00Z</dcterms:created>
  <dc:creator>戴 琳</dc:creator>
  <cp:lastModifiedBy>PC</cp:lastModifiedBy>
  <dcterms:modified xsi:type="dcterms:W3CDTF">2021-09-01T01:55:02Z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