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9" w:lineRule="exact"/>
        <w:jc w:val="center"/>
        <w:rPr>
          <w:rFonts w:hint="eastAsia" w:ascii="方正小标宋简体" w:hAnsi="方正小标宋_GBK" w:eastAsia="方正小标宋简体"/>
          <w:sz w:val="44"/>
          <w:szCs w:val="44"/>
          <w:lang w:bidi="ar"/>
        </w:rPr>
      </w:pPr>
      <w:r>
        <w:rPr>
          <w:rFonts w:hint="eastAsia" w:ascii="方正小标宋简体" w:hAnsi="方正小标宋_GBK" w:eastAsia="方正小标宋简体" w:cs="方正小标宋_GBK"/>
          <w:sz w:val="44"/>
          <w:szCs w:val="44"/>
          <w:lang w:bidi="ar"/>
        </w:rPr>
        <w:t>湖北省市场监管领域2025年度部门联合</w:t>
      </w:r>
    </w:p>
    <w:p>
      <w:pPr>
        <w:spacing w:line="579" w:lineRule="exact"/>
        <w:jc w:val="center"/>
        <w:rPr>
          <w:rFonts w:hint="eastAsia" w:ascii="方正小标宋简体" w:hAnsi="方正小标宋_GBK" w:eastAsia="方正小标宋简体"/>
          <w:sz w:val="44"/>
          <w:szCs w:val="44"/>
        </w:rPr>
      </w:pPr>
      <w:r>
        <w:rPr>
          <w:rFonts w:hint="eastAsia" w:ascii="方正小标宋简体" w:hAnsi="方正小标宋_GBK" w:eastAsia="方正小标宋简体" w:cs="方正小标宋_GBK"/>
          <w:sz w:val="44"/>
          <w:szCs w:val="44"/>
          <w:lang w:bidi="ar"/>
        </w:rPr>
        <w:t>双随机抽查工作计划</w:t>
      </w:r>
    </w:p>
    <w:p>
      <w:pPr>
        <w:spacing w:line="579" w:lineRule="exact"/>
        <w:jc w:val="center"/>
        <w:rPr>
          <w:rFonts w:hint="eastAsia" w:ascii="方正仿宋_GBK" w:hAnsi="方正仿宋_GBK" w:eastAsia="方正仿宋_GBK"/>
          <w:szCs w:val="21"/>
        </w:rPr>
      </w:pPr>
      <w:r>
        <w:rPr>
          <w:rFonts w:hint="eastAsia" w:ascii="方正仿宋_GBK" w:hAnsi="方正仿宋_GBK" w:eastAsia="方正仿宋_GBK"/>
          <w:szCs w:val="21"/>
          <w:lang w:bidi="ar"/>
        </w:rPr>
        <w:t xml:space="preserve"> </w:t>
      </w:r>
    </w:p>
    <w:tbl>
      <w:tblPr>
        <w:tblStyle w:val="2"/>
        <w:tblW w:w="54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1056"/>
        <w:gridCol w:w="1378"/>
        <w:gridCol w:w="1280"/>
        <w:gridCol w:w="797"/>
        <w:gridCol w:w="765"/>
        <w:gridCol w:w="945"/>
        <w:gridCol w:w="821"/>
        <w:gridCol w:w="1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ascii="黑体" w:hAnsi="黑体" w:eastAsia="黑体" w:cs="方正黑体_GBK"/>
                <w:color w:val="000000"/>
                <w:szCs w:val="21"/>
              </w:rPr>
            </w:pPr>
            <w:r>
              <w:rPr>
                <w:rFonts w:ascii="黑体" w:hAnsi="黑体" w:eastAsia="黑体" w:cs="方正黑体_GBK"/>
                <w:color w:val="000000"/>
                <w:kern w:val="0"/>
                <w:szCs w:val="21"/>
                <w:lang w:bidi="ar"/>
              </w:rPr>
              <w:t>序号</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ascii="黑体" w:hAnsi="黑体" w:eastAsia="黑体" w:cs="方正黑体_GBK"/>
                <w:color w:val="000000"/>
                <w:kern w:val="0"/>
                <w:szCs w:val="21"/>
              </w:rPr>
            </w:pPr>
            <w:r>
              <w:rPr>
                <w:rFonts w:ascii="黑体" w:hAnsi="黑体" w:eastAsia="黑体" w:cs="方正黑体_GBK"/>
                <w:color w:val="000000"/>
                <w:kern w:val="0"/>
                <w:szCs w:val="21"/>
                <w:lang w:bidi="ar"/>
              </w:rPr>
              <w:t>抽查</w:t>
            </w:r>
          </w:p>
          <w:p>
            <w:pPr>
              <w:widowControl/>
              <w:spacing w:line="280" w:lineRule="exact"/>
              <w:jc w:val="center"/>
              <w:textAlignment w:val="center"/>
              <w:rPr>
                <w:rFonts w:ascii="黑体" w:hAnsi="黑体" w:eastAsia="黑体" w:cs="方正黑体_GBK"/>
                <w:color w:val="000000"/>
                <w:szCs w:val="21"/>
              </w:rPr>
            </w:pPr>
            <w:r>
              <w:rPr>
                <w:rFonts w:ascii="黑体" w:hAnsi="黑体" w:eastAsia="黑体" w:cs="方正黑体_GBK"/>
                <w:color w:val="000000"/>
                <w:kern w:val="0"/>
                <w:szCs w:val="21"/>
                <w:lang w:bidi="ar"/>
              </w:rPr>
              <w:t>领域</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ascii="黑体" w:hAnsi="黑体" w:eastAsia="黑体" w:cs="方正黑体_GBK"/>
                <w:color w:val="000000"/>
                <w:szCs w:val="21"/>
              </w:rPr>
            </w:pPr>
            <w:r>
              <w:rPr>
                <w:rFonts w:ascii="黑体" w:hAnsi="黑体" w:eastAsia="黑体" w:cs="方正黑体_GBK"/>
                <w:color w:val="000000"/>
                <w:kern w:val="0"/>
                <w:szCs w:val="21"/>
                <w:lang w:bidi="ar"/>
              </w:rPr>
              <w:t>抽查事项</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ascii="黑体" w:hAnsi="黑体" w:eastAsia="黑体" w:cs="方正黑体_GBK"/>
                <w:color w:val="000000"/>
                <w:szCs w:val="21"/>
              </w:rPr>
            </w:pPr>
            <w:r>
              <w:rPr>
                <w:rFonts w:ascii="黑体" w:hAnsi="黑体" w:eastAsia="黑体" w:cs="方正黑体_GBK"/>
                <w:color w:val="000000"/>
                <w:kern w:val="0"/>
                <w:szCs w:val="21"/>
                <w:lang w:bidi="ar"/>
              </w:rPr>
              <w:t>检查对象</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ascii="黑体" w:hAnsi="黑体" w:eastAsia="黑体" w:cs="方正黑体_GBK"/>
                <w:color w:val="000000"/>
                <w:kern w:val="0"/>
                <w:szCs w:val="21"/>
              </w:rPr>
            </w:pPr>
            <w:r>
              <w:rPr>
                <w:rFonts w:ascii="黑体" w:hAnsi="黑体" w:eastAsia="黑体" w:cs="方正黑体_GBK"/>
                <w:color w:val="000000"/>
                <w:kern w:val="0"/>
                <w:szCs w:val="21"/>
                <w:lang w:bidi="ar"/>
              </w:rPr>
              <w:t>抽查</w:t>
            </w:r>
          </w:p>
          <w:p>
            <w:pPr>
              <w:widowControl/>
              <w:spacing w:line="280" w:lineRule="exact"/>
              <w:jc w:val="center"/>
              <w:textAlignment w:val="center"/>
              <w:rPr>
                <w:rFonts w:ascii="黑体" w:hAnsi="黑体" w:eastAsia="黑体" w:cs="方正黑体_GBK"/>
                <w:color w:val="000000"/>
                <w:szCs w:val="21"/>
              </w:rPr>
            </w:pPr>
            <w:r>
              <w:rPr>
                <w:rFonts w:ascii="黑体" w:hAnsi="黑体" w:eastAsia="黑体" w:cs="方正黑体_GBK"/>
                <w:color w:val="000000"/>
                <w:kern w:val="0"/>
                <w:szCs w:val="21"/>
                <w:lang w:bidi="ar"/>
              </w:rPr>
              <w:t>比例</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ascii="黑体" w:hAnsi="黑体" w:eastAsia="黑体" w:cs="方正黑体_GBK"/>
                <w:color w:val="000000"/>
                <w:kern w:val="0"/>
                <w:szCs w:val="21"/>
              </w:rPr>
            </w:pPr>
            <w:r>
              <w:rPr>
                <w:rFonts w:ascii="黑体" w:hAnsi="黑体" w:eastAsia="黑体" w:cs="方正黑体_GBK"/>
                <w:color w:val="000000"/>
                <w:kern w:val="0"/>
                <w:szCs w:val="21"/>
                <w:lang w:bidi="ar"/>
              </w:rPr>
              <w:t>发起</w:t>
            </w:r>
          </w:p>
          <w:p>
            <w:pPr>
              <w:widowControl/>
              <w:spacing w:line="280" w:lineRule="exact"/>
              <w:jc w:val="center"/>
              <w:textAlignment w:val="center"/>
              <w:rPr>
                <w:rFonts w:ascii="黑体" w:hAnsi="黑体" w:eastAsia="黑体" w:cs="方正黑体_GBK"/>
                <w:color w:val="000000"/>
                <w:szCs w:val="21"/>
              </w:rPr>
            </w:pPr>
            <w:r>
              <w:rPr>
                <w:rFonts w:ascii="黑体" w:hAnsi="黑体" w:eastAsia="黑体" w:cs="方正黑体_GBK"/>
                <w:color w:val="000000"/>
                <w:kern w:val="0"/>
                <w:szCs w:val="21"/>
                <w:lang w:bidi="ar"/>
              </w:rPr>
              <w:t>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ascii="黑体" w:hAnsi="黑体" w:eastAsia="黑体" w:cs="方正黑体_GBK"/>
                <w:color w:val="000000"/>
                <w:kern w:val="0"/>
                <w:szCs w:val="21"/>
              </w:rPr>
            </w:pPr>
            <w:r>
              <w:rPr>
                <w:rFonts w:ascii="黑体" w:hAnsi="黑体" w:eastAsia="黑体" w:cs="方正黑体_GBK"/>
                <w:color w:val="000000"/>
                <w:kern w:val="0"/>
                <w:szCs w:val="21"/>
                <w:lang w:bidi="ar"/>
              </w:rPr>
              <w:t>配合</w:t>
            </w:r>
          </w:p>
          <w:p>
            <w:pPr>
              <w:widowControl/>
              <w:spacing w:line="280" w:lineRule="exact"/>
              <w:jc w:val="center"/>
              <w:textAlignment w:val="center"/>
              <w:rPr>
                <w:rFonts w:ascii="黑体" w:hAnsi="黑体" w:eastAsia="黑体" w:cs="方正黑体_GBK"/>
                <w:color w:val="000000"/>
                <w:szCs w:val="21"/>
              </w:rPr>
            </w:pPr>
            <w:r>
              <w:rPr>
                <w:rFonts w:ascii="黑体" w:hAnsi="黑体" w:eastAsia="黑体" w:cs="方正黑体_GBK"/>
                <w:color w:val="000000"/>
                <w:kern w:val="0"/>
                <w:szCs w:val="21"/>
                <w:lang w:bidi="ar"/>
              </w:rPr>
              <w:t>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ascii="黑体" w:hAnsi="黑体" w:eastAsia="黑体" w:cs="方正黑体_GBK"/>
                <w:color w:val="000000"/>
                <w:kern w:val="0"/>
                <w:szCs w:val="21"/>
              </w:rPr>
            </w:pPr>
            <w:r>
              <w:rPr>
                <w:rFonts w:ascii="黑体" w:hAnsi="黑体" w:eastAsia="黑体" w:cs="方正黑体_GBK"/>
                <w:color w:val="000000"/>
                <w:kern w:val="0"/>
                <w:szCs w:val="21"/>
                <w:lang w:bidi="ar"/>
              </w:rPr>
              <w:t>实施</w:t>
            </w:r>
          </w:p>
          <w:p>
            <w:pPr>
              <w:widowControl/>
              <w:spacing w:line="280" w:lineRule="exact"/>
              <w:jc w:val="center"/>
              <w:textAlignment w:val="center"/>
              <w:rPr>
                <w:rFonts w:ascii="黑体" w:hAnsi="黑体" w:eastAsia="黑体" w:cs="方正黑体_GBK"/>
                <w:color w:val="000000"/>
                <w:szCs w:val="21"/>
              </w:rPr>
            </w:pPr>
            <w:r>
              <w:rPr>
                <w:rFonts w:ascii="黑体" w:hAnsi="黑体" w:eastAsia="黑体" w:cs="方正黑体_GBK"/>
                <w:color w:val="000000"/>
                <w:kern w:val="0"/>
                <w:szCs w:val="21"/>
                <w:lang w:bidi="ar"/>
              </w:rPr>
              <w:t>时间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黑体" w:hAnsi="黑体" w:eastAsia="黑体" w:cs="方正黑体_GBK"/>
                <w:color w:val="000000"/>
                <w:kern w:val="0"/>
                <w:szCs w:val="21"/>
                <w:lang w:bidi="ar"/>
              </w:rPr>
            </w:pPr>
            <w:r>
              <w:rPr>
                <w:rFonts w:ascii="黑体" w:hAnsi="黑体" w:eastAsia="黑体" w:cs="方正黑体_GBK"/>
                <w:color w:val="000000"/>
                <w:kern w:val="0"/>
                <w:szCs w:val="21"/>
                <w:lang w:bidi="ar"/>
              </w:rPr>
              <w:t>实施层级及牵头</w:t>
            </w:r>
          </w:p>
          <w:p>
            <w:pPr>
              <w:widowControl/>
              <w:spacing w:line="280" w:lineRule="exact"/>
              <w:jc w:val="center"/>
              <w:textAlignment w:val="center"/>
              <w:rPr>
                <w:rFonts w:ascii="黑体" w:hAnsi="黑体" w:eastAsia="黑体" w:cs="方正黑体_GBK"/>
                <w:color w:val="000000"/>
                <w:szCs w:val="21"/>
              </w:rPr>
            </w:pPr>
            <w:r>
              <w:rPr>
                <w:rFonts w:ascii="黑体" w:hAnsi="黑体" w:eastAsia="黑体" w:cs="方正黑体_GBK"/>
                <w:color w:val="000000"/>
                <w:kern w:val="0"/>
                <w:szCs w:val="21"/>
                <w:lang w:bidi="ar"/>
              </w:rPr>
              <w:t>处室、单位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工程咨询单位抽查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1.工程造价咨询企业抽查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工程造价咨询企业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1%-3%（每地市≥2家）</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lang w:bidi="ar"/>
              </w:rPr>
            </w:pPr>
            <w:r>
              <w:rPr>
                <w:rFonts w:hint="eastAsia" w:ascii="仿宋_GB2312" w:hAnsi="方正仿宋_GBK" w:eastAsia="仿宋_GB2312" w:cs="方正仿宋_GBK"/>
                <w:szCs w:val="21"/>
                <w:lang w:bidi="ar"/>
              </w:rPr>
              <w:t xml:space="preserve">住建 </w:t>
            </w:r>
          </w:p>
          <w:p>
            <w:pPr>
              <w:widowControl/>
              <w:spacing w:line="280" w:lineRule="exact"/>
              <w:jc w:val="center"/>
              <w:textAlignment w:val="center"/>
              <w:rPr>
                <w:rFonts w:hint="eastAsia" w:ascii="仿宋_GB2312" w:hAnsi="方正仿宋_GBK" w:eastAsia="仿宋_GB2312" w:cs="方正仿宋_GBK"/>
                <w:color w:val="0000FF"/>
                <w:szCs w:val="21"/>
              </w:rPr>
            </w:pPr>
            <w:r>
              <w:rPr>
                <w:rFonts w:hint="eastAsia" w:ascii="仿宋_GB2312" w:hAnsi="方正仿宋_GBK" w:eastAsia="仿宋_GB2312" w:cs="方正仿宋_GBK"/>
                <w:szCs w:val="21"/>
                <w:lang w:bidi="ar"/>
              </w:rPr>
              <w:t>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发改部门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4—11月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省级；省建设工程标准定额管理总站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学校办学情况抽查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2.中小学教育装备产品</w:t>
            </w:r>
            <w:r>
              <w:rPr>
                <w:rFonts w:hint="eastAsia" w:ascii="仿宋_GB2312" w:hAnsi="方正仿宋_GBK" w:eastAsia="仿宋_GB2312" w:cs="仿宋_GB2312"/>
                <w:szCs w:val="21"/>
                <w:lang w:bidi="ar"/>
              </w:rPr>
              <w:t>（</w:t>
            </w:r>
            <w:r>
              <w:rPr>
                <w:rFonts w:hint="eastAsia" w:ascii="仿宋_GB2312" w:hAnsi="仿宋" w:eastAsia="仿宋_GB2312" w:cs="仿宋_GB2312"/>
                <w:szCs w:val="21"/>
                <w:lang w:bidi="ar"/>
              </w:rPr>
              <w:t>理科实验室仪器设备</w:t>
            </w:r>
            <w:r>
              <w:rPr>
                <w:rFonts w:hint="eastAsia" w:ascii="仿宋_GB2312" w:hAnsi="方正仿宋_GBK" w:eastAsia="仿宋_GB2312" w:cs="仿宋_GB2312"/>
                <w:szCs w:val="21"/>
                <w:lang w:bidi="ar"/>
              </w:rPr>
              <w:t>）检查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中小学校</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51所学校</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教育  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3—10月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省级；省教育技术装备处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w:t>
            </w:r>
            <w:r>
              <w:rPr>
                <w:rFonts w:hint="eastAsia" w:ascii="仿宋_GB2312" w:hAnsi="方正仿宋_GBK" w:eastAsia="仿宋_GB2312" w:cs="仿宋_GB2312"/>
                <w:szCs w:val="21"/>
                <w:lang w:bidi="ar"/>
              </w:rPr>
              <w:t>校外培训违规培训行为、预收费、机构安全等情况检查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spacing w:line="280" w:lineRule="exact"/>
              <w:textAlignment w:val="center"/>
              <w:rPr>
                <w:rFonts w:hint="eastAsia" w:ascii="仿宋_GB2312" w:hAnsi="方正仿宋_GBK" w:eastAsia="仿宋_GB2312" w:cs="方正仿宋_GBK"/>
                <w:szCs w:val="21"/>
              </w:rPr>
            </w:pPr>
            <w:r>
              <w:rPr>
                <w:rFonts w:hint="eastAsia" w:ascii="仿宋_GB2312" w:hAnsi="方正仿宋_GBK" w:eastAsia="仿宋_GB2312" w:cs="仿宋_GB2312"/>
                <w:szCs w:val="21"/>
                <w:lang w:bidi="ar"/>
              </w:rPr>
              <w:t>全省面向3周岁以上学前、中小学生的校外培训机构</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仿宋_GB2312"/>
                <w:szCs w:val="21"/>
                <w:lang w:bidi="ar"/>
              </w:rPr>
              <w:t>15%</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仿宋_GB2312"/>
                <w:szCs w:val="21"/>
                <w:lang w:bidi="ar"/>
              </w:rPr>
              <w:t>教育</w:t>
            </w:r>
            <w:r>
              <w:rPr>
                <w:rFonts w:hint="eastAsia" w:ascii="仿宋_GB2312" w:hAnsi="方正仿宋_GBK" w:eastAsia="仿宋_GB2312" w:cs="方正仿宋_GBK"/>
                <w:szCs w:val="21"/>
                <w:lang w:bidi="ar"/>
              </w:rPr>
              <w:t xml:space="preserve"> </w:t>
            </w:r>
            <w:r>
              <w:rPr>
                <w:rFonts w:hint="eastAsia" w:ascii="仿宋_GB2312" w:hAnsi="方正仿宋_GBK" w:eastAsia="仿宋_GB2312" w:cs="仿宋_GB2312"/>
                <w:szCs w:val="21"/>
                <w:lang w:bidi="ar"/>
              </w:rPr>
              <w:t xml:space="preserve"> 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仿宋_GB2312"/>
                <w:szCs w:val="21"/>
                <w:lang w:bidi="ar"/>
              </w:rPr>
              <w:t>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仿宋_GB2312"/>
                <w:szCs w:val="21"/>
                <w:lang w:bidi="ar"/>
              </w:rPr>
              <w:t>暑假</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spacing w:line="280" w:lineRule="exact"/>
              <w:textAlignment w:val="center"/>
              <w:rPr>
                <w:rFonts w:hint="eastAsia" w:ascii="仿宋_GB2312" w:hAnsi="方正仿宋_GBK" w:eastAsia="仿宋_GB2312" w:cs="方正仿宋_GBK"/>
                <w:szCs w:val="21"/>
              </w:rPr>
            </w:pPr>
            <w:r>
              <w:rPr>
                <w:rFonts w:hint="eastAsia" w:ascii="仿宋_GB2312" w:hAnsi="方正仿宋_GBK" w:eastAsia="仿宋_GB2312" w:cs="仿宋_GB2312"/>
                <w:szCs w:val="21"/>
                <w:lang w:bidi="ar"/>
              </w:rPr>
              <w:t>市、县级；省教育厅校外教育培训监管处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影剧院、录像厅（室）、游艺厅（室）、舞厅、音乐厅经营卫生情况抽查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4.游艺厅（室）、舞厅、音乐厅取得、公示相关许可证及其他情况的检查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游艺厅（室）、舞厅、音乐厅</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文化旅游部门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公安、卫生健康、消防救援部门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市、县级；省文化和旅游厅文化市场综合执法监督处（局）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FF"/>
                <w:szCs w:val="21"/>
              </w:rPr>
            </w:pPr>
            <w:r>
              <w:rPr>
                <w:rFonts w:hint="eastAsia" w:ascii="仿宋_GB2312" w:hAnsi="方正仿宋_GBK" w:eastAsia="仿宋_GB2312" w:cs="方正仿宋_GBK"/>
                <w:kern w:val="0"/>
                <w:szCs w:val="21"/>
                <w:lang w:bidi="ar"/>
              </w:rPr>
              <w:t>4</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宾馆、旅店监督抽查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5.宾馆、旅店取得许可证情况的检查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各类宾馆、旅店</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市、州2%，直管市、神农架林区10%</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公安  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住建、卫生健康、市场监管、消防救援部门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11月底前</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市（州）级；每半年开展一次,省公安厅治安总队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6.宾馆、旅店治安安全情况的检查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各类宾馆、旅店</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10%</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公安  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住建、卫生健康、市场监管、消防救援部门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11月底前</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县（区）级；每季度开展一次,省公安厅治安总队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企业年度报告抽查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 xml:space="preserve">7.年度报告公示信息的检查 </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各类企业年报</w:t>
            </w:r>
          </w:p>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信息（根据商务部、市场监管总局要求，外商投资信息中的初始、变更信息纳入抽查范围）</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 xml:space="preserve"> ≥0.5%</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市场监</w:t>
            </w:r>
          </w:p>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管、商务部门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人社、税务部门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省、市、县三级；省市场监管局信用处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FF"/>
                <w:szCs w:val="21"/>
              </w:rPr>
            </w:pPr>
            <w:r>
              <w:rPr>
                <w:rFonts w:hint="eastAsia" w:ascii="仿宋_GB2312" w:hAnsi="方正仿宋_GBK" w:eastAsia="仿宋_GB2312" w:cs="方正仿宋_GBK"/>
                <w:kern w:val="0"/>
                <w:szCs w:val="21"/>
                <w:lang w:bidi="ar"/>
              </w:rPr>
              <w:t>6</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车用油品质量监管</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8.重点区域车用油品质量抽查监测</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车用油品生产、销售、运输、储存企业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生态环境、商务部门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4—9月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省、市、县三级；省市场监管局产品质量监督处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7</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机动车销售企业监管</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9.机动车环保信息公开检查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机动车销售企业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生态环境部门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商务部门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3—11月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省级；省生态环境厅大气环境处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8</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机动车排放检验机构检测情况抽查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10.机动车（尾气排放）检验检测机构资质认定能力持续情况检查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机动车(尾气排放)检验检测机构</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生态环境部门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5-11月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省、市、县三级；省市场监管局认检处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9</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民用枪支经营使用单位抽查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rPr>
                <w:rFonts w:hint="eastAsia" w:ascii="仿宋_GB2312" w:hAnsi="方正仿宋_GBK" w:eastAsia="仿宋_GB2312" w:cs="方正仿宋_GBK"/>
                <w:szCs w:val="21"/>
              </w:rPr>
            </w:pPr>
            <w:r>
              <w:rPr>
                <w:rFonts w:hint="eastAsia" w:ascii="仿宋_GB2312" w:hAnsi="方正仿宋_GBK" w:eastAsia="仿宋_GB2312" w:cs="方正仿宋_GBK"/>
                <w:bCs/>
                <w:kern w:val="0"/>
                <w:szCs w:val="21"/>
                <w:lang w:bidi="ar"/>
              </w:rPr>
              <w:t>11.民用枪支制造企业经营情况的检查</w:t>
            </w:r>
          </w:p>
        </w:tc>
        <w:tc>
          <w:tcPr>
            <w:tcW w:w="702"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民枪配售中心、射击竞技体育运动中心、狩猎场、护秋队等民枪从业单位</w:t>
            </w:r>
          </w:p>
        </w:tc>
        <w:tc>
          <w:tcPr>
            <w:tcW w:w="43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w:t>
            </w:r>
          </w:p>
        </w:tc>
        <w:tc>
          <w:tcPr>
            <w:tcW w:w="420"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公安  部门</w:t>
            </w:r>
          </w:p>
        </w:tc>
        <w:tc>
          <w:tcPr>
            <w:tcW w:w="51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市场监管、体育、林业部门</w:t>
            </w:r>
          </w:p>
        </w:tc>
        <w:tc>
          <w:tcPr>
            <w:tcW w:w="451"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11月底前</w:t>
            </w:r>
          </w:p>
        </w:tc>
        <w:tc>
          <w:tcPr>
            <w:tcW w:w="884"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市、县级；以市、州或县（市、区）为主体自行实施，省级督导；省公安厅治安总队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rPr>
                <w:rFonts w:hint="eastAsia" w:ascii="仿宋_GB2312" w:hAnsi="方正仿宋_GBK" w:eastAsia="仿宋_GB2312" w:cs="方正仿宋_GBK"/>
                <w:kern w:val="0"/>
                <w:szCs w:val="21"/>
              </w:rPr>
            </w:pPr>
            <w:r>
              <w:rPr>
                <w:rFonts w:hint="eastAsia" w:ascii="仿宋_GB2312" w:hAnsi="方正仿宋_GBK" w:eastAsia="仿宋_GB2312" w:cs="方正仿宋_GBK"/>
                <w:bCs/>
                <w:kern w:val="0"/>
                <w:szCs w:val="21"/>
                <w:lang w:bidi="ar"/>
              </w:rPr>
              <w:t>12.民用枪支配售企业经营情况的检查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rPr>
                <w:rFonts w:hint="eastAsia" w:ascii="仿宋_GB2312" w:hAnsi="方正仿宋_GBK" w:eastAsia="仿宋_GB2312" w:cs="方正仿宋_GBK"/>
                <w:kern w:val="0"/>
                <w:szCs w:val="21"/>
              </w:rPr>
            </w:pPr>
            <w:r>
              <w:rPr>
                <w:rFonts w:hint="eastAsia" w:ascii="仿宋_GB2312" w:hAnsi="方正仿宋_GBK" w:eastAsia="仿宋_GB2312" w:cs="方正仿宋_GBK"/>
                <w:bCs/>
                <w:kern w:val="0"/>
                <w:szCs w:val="21"/>
                <w:lang w:bidi="ar"/>
              </w:rPr>
              <w:t>13.民用枪支配置使用单位使用枪支情况的检查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10</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保安行业相关单位抽查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14.保安从业单位及其保安服务活动情况的检查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保安行业相关单位</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8%</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 xml:space="preserve">公安  部门 </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市场监管、人社部门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市、县级；以市、州或县（市、区）为主体自行组织实施，省级督导；省公安厅内保总队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11</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爆破作业单位抽查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rPr>
                <w:rFonts w:hint="eastAsia" w:ascii="仿宋_GB2312" w:hAnsi="方正仿宋_GBK" w:eastAsia="仿宋_GB2312" w:cs="方正仿宋_GBK"/>
                <w:szCs w:val="21"/>
              </w:rPr>
            </w:pPr>
            <w:r>
              <w:rPr>
                <w:rFonts w:hint="eastAsia" w:ascii="仿宋_GB2312" w:hAnsi="方正仿宋_GBK" w:eastAsia="仿宋_GB2312" w:cs="方正仿宋_GBK"/>
                <w:bCs/>
                <w:kern w:val="0"/>
                <w:szCs w:val="21"/>
                <w:lang w:bidi="ar"/>
              </w:rPr>
              <w:t>15.民用爆破物仓储情况的检查</w:t>
            </w:r>
          </w:p>
        </w:tc>
        <w:tc>
          <w:tcPr>
            <w:tcW w:w="702"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民爆物品生产单位、销售单位、爆破作业单位</w:t>
            </w:r>
          </w:p>
        </w:tc>
        <w:tc>
          <w:tcPr>
            <w:tcW w:w="43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w:t>
            </w:r>
          </w:p>
        </w:tc>
        <w:tc>
          <w:tcPr>
            <w:tcW w:w="420"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公安  部门</w:t>
            </w:r>
          </w:p>
        </w:tc>
        <w:tc>
          <w:tcPr>
            <w:tcW w:w="51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军民融合、市场监管、气象、交通运输、自然资源部门</w:t>
            </w:r>
          </w:p>
        </w:tc>
        <w:tc>
          <w:tcPr>
            <w:tcW w:w="451"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11月底前</w:t>
            </w:r>
          </w:p>
        </w:tc>
        <w:tc>
          <w:tcPr>
            <w:tcW w:w="884"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市、县级；以市、州或县（市、区）为主体自行实施，省级督导；省公安厅治安总队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rPr>
                <w:rFonts w:hint="eastAsia" w:ascii="仿宋_GB2312" w:hAnsi="方正仿宋_GBK" w:eastAsia="仿宋_GB2312" w:cs="方正仿宋_GBK"/>
                <w:kern w:val="0"/>
                <w:szCs w:val="21"/>
              </w:rPr>
            </w:pPr>
            <w:r>
              <w:rPr>
                <w:rFonts w:hint="eastAsia" w:ascii="仿宋_GB2312" w:hAnsi="方正仿宋_GBK" w:eastAsia="仿宋_GB2312" w:cs="方正仿宋_GBK"/>
                <w:bCs/>
                <w:kern w:val="0"/>
                <w:szCs w:val="21"/>
                <w:lang w:bidi="ar"/>
              </w:rPr>
              <w:t>16.爆破作业单位有关制度情况的检查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rPr>
                <w:rFonts w:hint="eastAsia" w:ascii="仿宋_GB2312" w:hAnsi="方正仿宋_GBK" w:eastAsia="仿宋_GB2312" w:cs="方正仿宋_GBK"/>
                <w:kern w:val="0"/>
                <w:szCs w:val="21"/>
              </w:rPr>
            </w:pPr>
            <w:r>
              <w:rPr>
                <w:rFonts w:hint="eastAsia" w:ascii="仿宋_GB2312" w:hAnsi="方正仿宋_GBK" w:eastAsia="仿宋_GB2312" w:cs="方正仿宋_GBK"/>
                <w:bCs/>
                <w:kern w:val="0"/>
                <w:szCs w:val="21"/>
                <w:lang w:bidi="ar"/>
              </w:rPr>
              <w:t>17.爆破作业单位作业情况的检查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12</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道路交通运输行业监管</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18.交通运输产品质量监督检查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交通运输工程建设单位</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交通运输部门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3—11月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省级；省交通运输厅科技信息处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13</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农业生产资料监管</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19.饲料、添加剂监督检查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饲料和添加剂生产企业、经营企业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农业农村部门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3—11月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省级；省农业农村厅畜牧兽医处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20.农药监督检查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农药生产者、经营者，农药登记试验单位</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农业农村部门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2—12月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省级；省植物保护总站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14</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农业转基因生物安全检查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21.农业转基因生物安全监督检查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在我国境内外从事农业转基因生物研究、实验、生产、加工、经营和进口、出口活动的单位个人</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2%</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农业农村部门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生态环境、海关部门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3-11月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市、县级；省农业农村厅科技与人才处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15</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水生野生动物及其制品利用活动的检查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22.水生野生动物及其制品利用活动的监督检查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利用水生野生动物及其制品的事业单位、企业、社会组织、个人</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2%</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农业农村部门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3-11月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市、县级；省农业农村厅渔业渔政管理处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FF"/>
                <w:szCs w:val="21"/>
              </w:rPr>
            </w:pPr>
            <w:r>
              <w:rPr>
                <w:rFonts w:hint="eastAsia" w:ascii="仿宋_GB2312" w:hAnsi="方正仿宋_GBK" w:eastAsia="仿宋_GB2312" w:cs="方正仿宋_GBK"/>
                <w:kern w:val="0"/>
                <w:szCs w:val="21"/>
                <w:lang w:bidi="ar"/>
              </w:rPr>
              <w:t>16</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消防产品检查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23.使用领域消防产品的检查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新投用的建设工程</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10%</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消防救援部门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住建、市场监管部门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3—11月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市、县级；省消防救援总队火调技术处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FF"/>
                <w:szCs w:val="21"/>
              </w:rPr>
            </w:pPr>
            <w:r>
              <w:rPr>
                <w:rFonts w:hint="eastAsia" w:ascii="仿宋_GB2312" w:hAnsi="方正仿宋_GBK" w:eastAsia="仿宋_GB2312" w:cs="方正仿宋_GBK"/>
                <w:kern w:val="0"/>
                <w:szCs w:val="21"/>
                <w:lang w:bidi="ar"/>
              </w:rPr>
              <w:t>17</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工业企业安全生产情况的检查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24.工业企业取得安全生产许可证情况的检查</w:t>
            </w:r>
          </w:p>
        </w:tc>
        <w:tc>
          <w:tcPr>
            <w:tcW w:w="702"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工贸重点行业（钢铁、铝加工-深井铸造、粉尘涉爆、有限空间）企业</w:t>
            </w:r>
          </w:p>
        </w:tc>
        <w:tc>
          <w:tcPr>
            <w:tcW w:w="43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4%</w:t>
            </w:r>
          </w:p>
        </w:tc>
        <w:tc>
          <w:tcPr>
            <w:tcW w:w="420"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应急管理部门</w:t>
            </w:r>
          </w:p>
        </w:tc>
        <w:tc>
          <w:tcPr>
            <w:tcW w:w="51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经信部门</w:t>
            </w:r>
          </w:p>
        </w:tc>
        <w:tc>
          <w:tcPr>
            <w:tcW w:w="451"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3—9月</w:t>
            </w:r>
          </w:p>
        </w:tc>
        <w:tc>
          <w:tcPr>
            <w:tcW w:w="884"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省级；省应急管理厅安全生产执法处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25.工业企业安全生产有关制度设置、落实情况的检查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26.工业企业职业健康制度落实情况的检查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存在粉尘、化学毒物、噪声危害因素浓（强）度超标且从业人员10人及以上的工业企业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10%</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卫生健康部门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人社部门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市、县级，省疾控局综合监督处；省人社厅工伤保险处，劳动保障监察处（局）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18</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互联网上网服务营业场所的检查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27.互联网上网服务营业场所的检查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经营性互联网文化单位</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文化旅游部门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公安、税务部门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市、县级；省文化和旅游厅文化市场综合执法监督处（局）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szCs w:val="21"/>
              </w:rPr>
            </w:pPr>
            <w:r>
              <w:rPr>
                <w:rFonts w:hint="eastAsia" w:ascii="仿宋_GB2312" w:hAnsi="方正仿宋_GBK" w:eastAsia="仿宋_GB2312" w:cs="方正仿宋_GBK"/>
                <w:color w:val="000000"/>
                <w:kern w:val="0"/>
                <w:szCs w:val="21"/>
                <w:lang w:bidi="ar"/>
              </w:rPr>
              <w:t>19</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szCs w:val="21"/>
              </w:rPr>
            </w:pPr>
            <w:r>
              <w:rPr>
                <w:rFonts w:hint="eastAsia" w:ascii="仿宋_GB2312" w:hAnsi="方正仿宋_GBK" w:eastAsia="仿宋_GB2312" w:cs="方正仿宋_GBK"/>
                <w:color w:val="000000"/>
                <w:kern w:val="0"/>
                <w:szCs w:val="21"/>
                <w:lang w:bidi="ar"/>
              </w:rPr>
              <w:t>营业性演出经营活动从业单位的检查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szCs w:val="21"/>
              </w:rPr>
            </w:pPr>
            <w:r>
              <w:rPr>
                <w:rFonts w:hint="eastAsia" w:ascii="仿宋_GB2312" w:hAnsi="方正仿宋_GBK" w:eastAsia="仿宋_GB2312" w:cs="方正仿宋_GBK"/>
                <w:color w:val="000000"/>
                <w:kern w:val="0"/>
                <w:szCs w:val="21"/>
                <w:lang w:bidi="ar"/>
              </w:rPr>
              <w:t>28.营业性演出经营活动从业单位取得许可证情况的检查</w:t>
            </w:r>
          </w:p>
        </w:tc>
        <w:tc>
          <w:tcPr>
            <w:tcW w:w="702"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szCs w:val="21"/>
              </w:rPr>
            </w:pPr>
            <w:r>
              <w:rPr>
                <w:rFonts w:hint="eastAsia" w:ascii="仿宋_GB2312" w:hAnsi="方正仿宋_GBK" w:eastAsia="仿宋_GB2312" w:cs="方正仿宋_GBK"/>
                <w:color w:val="000000"/>
                <w:kern w:val="0"/>
                <w:szCs w:val="21"/>
                <w:lang w:bidi="ar"/>
              </w:rPr>
              <w:t>营业性演出从业单位</w:t>
            </w:r>
          </w:p>
        </w:tc>
        <w:tc>
          <w:tcPr>
            <w:tcW w:w="43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szCs w:val="21"/>
              </w:rPr>
            </w:pPr>
            <w:r>
              <w:rPr>
                <w:rFonts w:hint="eastAsia" w:ascii="仿宋_GB2312" w:hAnsi="方正仿宋_GBK" w:eastAsia="仿宋_GB2312" w:cs="方正仿宋_GBK"/>
                <w:color w:val="000000"/>
                <w:kern w:val="0"/>
                <w:szCs w:val="21"/>
                <w:lang w:bidi="ar"/>
              </w:rPr>
              <w:t>2%</w:t>
            </w:r>
          </w:p>
        </w:tc>
        <w:tc>
          <w:tcPr>
            <w:tcW w:w="420"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szCs w:val="21"/>
              </w:rPr>
            </w:pPr>
            <w:r>
              <w:rPr>
                <w:rFonts w:hint="eastAsia" w:ascii="仿宋_GB2312" w:hAnsi="方正仿宋_GBK" w:eastAsia="仿宋_GB2312" w:cs="方正仿宋_GBK"/>
                <w:color w:val="000000"/>
                <w:kern w:val="0"/>
                <w:szCs w:val="21"/>
                <w:lang w:bidi="ar"/>
              </w:rPr>
              <w:t>文化旅游部门</w:t>
            </w:r>
          </w:p>
        </w:tc>
        <w:tc>
          <w:tcPr>
            <w:tcW w:w="51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szCs w:val="21"/>
              </w:rPr>
            </w:pPr>
            <w:r>
              <w:rPr>
                <w:rFonts w:hint="eastAsia" w:ascii="仿宋_GB2312" w:hAnsi="方正仿宋_GBK" w:eastAsia="仿宋_GB2312" w:cs="方正仿宋_GBK"/>
                <w:color w:val="000000"/>
                <w:kern w:val="0"/>
                <w:szCs w:val="21"/>
                <w:lang w:bidi="ar"/>
              </w:rPr>
              <w:t>消防救援部门</w:t>
            </w:r>
          </w:p>
        </w:tc>
        <w:tc>
          <w:tcPr>
            <w:tcW w:w="451"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szCs w:val="21"/>
              </w:rPr>
            </w:pPr>
            <w:r>
              <w:rPr>
                <w:rFonts w:hint="eastAsia" w:ascii="仿宋_GB2312" w:hAnsi="方正仿宋_GBK" w:eastAsia="仿宋_GB2312" w:cs="方正仿宋_GBK"/>
                <w:color w:val="000000"/>
                <w:kern w:val="0"/>
                <w:szCs w:val="21"/>
                <w:lang w:bidi="ar"/>
              </w:rPr>
              <w:t>全年</w:t>
            </w:r>
          </w:p>
        </w:tc>
        <w:tc>
          <w:tcPr>
            <w:tcW w:w="884"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szCs w:val="21"/>
              </w:rPr>
            </w:pPr>
            <w:r>
              <w:rPr>
                <w:rFonts w:hint="eastAsia" w:ascii="仿宋_GB2312" w:hAnsi="方正仿宋_GBK" w:eastAsia="仿宋_GB2312" w:cs="方正仿宋_GBK"/>
                <w:color w:val="000000"/>
                <w:kern w:val="0"/>
                <w:szCs w:val="21"/>
                <w:lang w:bidi="ar"/>
              </w:rPr>
              <w:t>市、县级；省文化和旅游厅文化市场综合执法监督处（局）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szCs w:val="21"/>
              </w:rPr>
            </w:pPr>
            <w:r>
              <w:rPr>
                <w:rFonts w:hint="eastAsia" w:ascii="仿宋_GB2312" w:hAnsi="方正仿宋_GBK" w:eastAsia="仿宋_GB2312" w:cs="方正仿宋_GBK"/>
                <w:color w:val="000000"/>
                <w:kern w:val="0"/>
                <w:szCs w:val="21"/>
                <w:lang w:bidi="ar"/>
              </w:rPr>
              <w:t>29.营业性演出经营活动从业单位经营、消防情况的检查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20</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艺术品经营单位的检查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30.艺术品经营单位从事艺术品经营活动的检查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艺术品经营单位</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文化旅游部门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市、县级；省文化和旅游厅文化市场综合执法监督处（局）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21</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旅行社行业监管</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31.旅行社取得许可证情况的检查</w:t>
            </w:r>
          </w:p>
        </w:tc>
        <w:tc>
          <w:tcPr>
            <w:tcW w:w="702"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旅行社</w:t>
            </w:r>
          </w:p>
        </w:tc>
        <w:tc>
          <w:tcPr>
            <w:tcW w:w="43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w:t>
            </w:r>
          </w:p>
        </w:tc>
        <w:tc>
          <w:tcPr>
            <w:tcW w:w="420"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文化旅游部门</w:t>
            </w:r>
          </w:p>
        </w:tc>
        <w:tc>
          <w:tcPr>
            <w:tcW w:w="51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市场监管部门</w:t>
            </w:r>
          </w:p>
        </w:tc>
        <w:tc>
          <w:tcPr>
            <w:tcW w:w="451"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全年</w:t>
            </w:r>
          </w:p>
        </w:tc>
        <w:tc>
          <w:tcPr>
            <w:tcW w:w="884"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市、县级；省文化和旅游厅文化市场综合执法监督处（局）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32.旅行社经营情况的检查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22</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通过网络经营旅行业务抽查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33.通过网络经营旅行社业务抽查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通过网络经营旅行社业务的企业及平台</w:t>
            </w:r>
          </w:p>
        </w:tc>
        <w:tc>
          <w:tcPr>
            <w:tcW w:w="43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w:t>
            </w:r>
          </w:p>
        </w:tc>
        <w:tc>
          <w:tcPr>
            <w:tcW w:w="420"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文化旅游部门</w:t>
            </w:r>
          </w:p>
        </w:tc>
        <w:tc>
          <w:tcPr>
            <w:tcW w:w="51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市场监管部门</w:t>
            </w:r>
          </w:p>
        </w:tc>
        <w:tc>
          <w:tcPr>
            <w:tcW w:w="451"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全年</w:t>
            </w:r>
          </w:p>
        </w:tc>
        <w:tc>
          <w:tcPr>
            <w:tcW w:w="884"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市、县级；省文化和旅游厅文化市场综合执法监督处（局）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34.发布旅游经营信息网站抽查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发布旅游经营信息的网站</w:t>
            </w: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23</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汽车市场监管</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35.报废机动车回收拆解活动监管</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报废机动车回收拆解企业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10%</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商务  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FF"/>
                <w:szCs w:val="21"/>
              </w:rPr>
            </w:pPr>
            <w:r>
              <w:rPr>
                <w:rFonts w:hint="eastAsia" w:ascii="仿宋_GB2312" w:hAnsi="方正仿宋_GBK" w:eastAsia="仿宋_GB2312" w:cs="方正仿宋_GBK"/>
                <w:kern w:val="0"/>
                <w:szCs w:val="21"/>
                <w:lang w:bidi="ar"/>
              </w:rPr>
              <w:t>发改、生态环境、经信、交通运输、市场监管部门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8—10月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省级组织抽选，并具体实施；省商务厅消费处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24</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单用途商业预付卡监督检查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36.单用途商业预付卡业务检查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单用途商业预付卡发卡企业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10%</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商务  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7—11月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省级；省商务厅市场处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25</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房地产市场监督执法检查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37.房地产市场（物业服务质量）监督执法检查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专业化物业管理住宅小区</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0.5%</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住建部门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省、市级；省住建厅房产处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26</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建筑市场监督执法检查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38.建筑市场监督执法检查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建筑市场从业单位（在建工程）</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1%</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住建部门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人社部门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省、市、县三级；省住建厅市场处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39.建筑市场竣工验收及消防情况的检查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建筑市场从业单位（房屋市政工程）</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0.5%</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住建部门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消防救援部门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省、市、县三级；省住建厅质安处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27</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燃气经营执法监督检查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40.燃气经营许可证取得情况的检查</w:t>
            </w:r>
          </w:p>
        </w:tc>
        <w:tc>
          <w:tcPr>
            <w:tcW w:w="702"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城镇燃气经营企业</w:t>
            </w:r>
          </w:p>
        </w:tc>
        <w:tc>
          <w:tcPr>
            <w:tcW w:w="43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≥3%</w:t>
            </w:r>
          </w:p>
        </w:tc>
        <w:tc>
          <w:tcPr>
            <w:tcW w:w="420"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住建 部门</w:t>
            </w:r>
          </w:p>
        </w:tc>
        <w:tc>
          <w:tcPr>
            <w:tcW w:w="51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市场监管、消防救援部门</w:t>
            </w:r>
          </w:p>
        </w:tc>
        <w:tc>
          <w:tcPr>
            <w:tcW w:w="451"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全年，每季度不少于一次。</w:t>
            </w:r>
          </w:p>
        </w:tc>
        <w:tc>
          <w:tcPr>
            <w:tcW w:w="884"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省级；省住建厅城市建设处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41.燃气经营执法监督检查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28</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涉嫌税收违法当事人的抽查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42.涉嫌税收违法的纳税人、扣缴义务人和其他涉税当事人的检查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涉嫌税收违法当事人</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10%</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税务  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省级（检查对象所在市州相关部门配合）、市级（具体计划自行拟定）；省税务局稽查局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29</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常压液体危险货物从业单位监督检查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43.常压液体危险货物罐体检验机构检查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常压液体危险货物罐体检验机构</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5%</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市场监管部门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交通运输部门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省、市、县三级；省市场监管局认检处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30</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出口商品生产企业的检查</w:t>
            </w:r>
          </w:p>
        </w:tc>
        <w:tc>
          <w:tcPr>
            <w:tcW w:w="755"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44.对出口商品生产企业的检查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出口饲料和饲料添加剂注册生产、加工、存放企业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10%</w:t>
            </w:r>
          </w:p>
        </w:tc>
        <w:tc>
          <w:tcPr>
            <w:tcW w:w="420"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海关  部门</w:t>
            </w:r>
          </w:p>
        </w:tc>
        <w:tc>
          <w:tcPr>
            <w:tcW w:w="51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税务、市场监管部门</w:t>
            </w:r>
          </w:p>
        </w:tc>
        <w:tc>
          <w:tcPr>
            <w:tcW w:w="451"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全年</w:t>
            </w:r>
          </w:p>
        </w:tc>
        <w:tc>
          <w:tcPr>
            <w:tcW w:w="884"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各隶属海关，武汉海关企业管理和稽查处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出境竹木草制品生产加工企业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2%</w:t>
            </w: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出口商品生产企业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10%</w:t>
            </w: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出口备案食品生产企业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0.4%</w:t>
            </w: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31</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劳动用工监管</w:t>
            </w:r>
          </w:p>
        </w:tc>
        <w:tc>
          <w:tcPr>
            <w:tcW w:w="755"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45.各类用人单位招工用工、工资支付、参保缴费等情况的检查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各类用人单位、建筑施工项目</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0.5%</w:t>
            </w:r>
          </w:p>
        </w:tc>
        <w:tc>
          <w:tcPr>
            <w:tcW w:w="420"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人社  部门</w:t>
            </w:r>
          </w:p>
        </w:tc>
        <w:tc>
          <w:tcPr>
            <w:tcW w:w="51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市场监管、住建、交通运输、税务部门，以及行使人社部门的行政处罚权及与之相关的行政检查权的综合行政执法机构</w:t>
            </w:r>
          </w:p>
        </w:tc>
        <w:tc>
          <w:tcPr>
            <w:tcW w:w="451"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3-10月</w:t>
            </w:r>
          </w:p>
        </w:tc>
        <w:tc>
          <w:tcPr>
            <w:tcW w:w="884"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省、市、县三级；省人社厅劳动保障监察处（局）。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人力资源服务机构</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10%</w:t>
            </w: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32</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国家常规统计调查、部门统计调查、地方统计调查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46.调查对象依法设置原始记录、统计台账以及统计数据质量情况检查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统计调查对象</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统计  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发改、商务、市场监管部门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1—11月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省、市、县三级共同执行；省统计局执法监督局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33</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雷电防护装置检测单位检查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47.对雷电防护装置检测单位的行政检查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雷电防护装置检测单位</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10%</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气象 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住建部门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9-10月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省级；省气象局政策法规处。</w:t>
            </w:r>
            <w:r>
              <w:rPr>
                <w:rFonts w:hint="eastAsia" w:ascii="仿宋_GB2312" w:hAnsi="方正仿宋_GBK" w:eastAsia="仿宋_GB2312" w:cs="方正仿宋_GBK"/>
                <w:b/>
                <w:bCs/>
                <w:kern w:val="0"/>
                <w:szCs w:val="21"/>
                <w:lang w:bidi="ar"/>
              </w:rPr>
              <w:t>说明：此项抽查未纳入部门联合抽查事项清单，作为专项治理项目实施。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34</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水路、港口、交通运输行业监管</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48.对水路运输经营者经营资质保持情况的检查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长江干线省际水路运输企业、长江干线水路运输辅助业企业、网络货运平台企业</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长江干线6个片区全年全覆盖，原则上每个片区不少于4家企业（湖北片区检查对象根据工作安排统筹确定）</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长江航务管理部门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长江海事局、被抽查省（市）交通运输管理部门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第1期，2-3月；第2期，8-9月</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kern w:val="0"/>
                <w:szCs w:val="21"/>
              </w:rPr>
            </w:pPr>
            <w:r>
              <w:rPr>
                <w:rFonts w:hint="eastAsia" w:ascii="仿宋_GB2312" w:hAnsi="方正仿宋_GBK" w:eastAsia="仿宋_GB2312" w:cs="方正仿宋_GBK"/>
                <w:kern w:val="0"/>
                <w:szCs w:val="21"/>
                <w:lang w:bidi="ar"/>
              </w:rPr>
              <w:t>省级；长江航务管理局运输服务处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9" w:hRule="atLeast"/>
          <w:jc w:val="center"/>
        </w:trPr>
        <w:tc>
          <w:tcPr>
            <w:tcW w:w="24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FF0000"/>
                <w:kern w:val="0"/>
                <w:szCs w:val="21"/>
              </w:rPr>
            </w:pPr>
            <w:r>
              <w:rPr>
                <w:rFonts w:hint="eastAsia" w:ascii="仿宋_GB2312" w:hAnsi="方正仿宋_GBK" w:eastAsia="仿宋_GB2312" w:cs="方正仿宋_GBK"/>
                <w:kern w:val="0"/>
                <w:szCs w:val="21"/>
                <w:lang w:bidi="ar"/>
              </w:rPr>
              <w:t>35</w:t>
            </w:r>
          </w:p>
        </w:tc>
        <w:tc>
          <w:tcPr>
            <w:tcW w:w="57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体育经营行业监管</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49.对经营高危险性体育项目的检查</w:t>
            </w:r>
          </w:p>
        </w:tc>
        <w:tc>
          <w:tcPr>
            <w:tcW w:w="702"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经营高危险性体育项目单位</w:t>
            </w:r>
          </w:p>
        </w:tc>
        <w:tc>
          <w:tcPr>
            <w:tcW w:w="438"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≥50%</w:t>
            </w:r>
          </w:p>
        </w:tc>
        <w:tc>
          <w:tcPr>
            <w:tcW w:w="420"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体育部门</w:t>
            </w:r>
          </w:p>
        </w:tc>
        <w:tc>
          <w:tcPr>
            <w:tcW w:w="519"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文旅部门（可根据本地实际联合卫生健康、应急管理、市场监管等相关部门）</w:t>
            </w:r>
          </w:p>
        </w:tc>
        <w:tc>
          <w:tcPr>
            <w:tcW w:w="451"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全年</w:t>
            </w:r>
          </w:p>
        </w:tc>
        <w:tc>
          <w:tcPr>
            <w:tcW w:w="884"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color w:val="000000"/>
                <w:kern w:val="0"/>
                <w:szCs w:val="21"/>
              </w:rPr>
            </w:pPr>
            <w:r>
              <w:rPr>
                <w:rFonts w:hint="eastAsia" w:ascii="仿宋_GB2312" w:hAnsi="方正仿宋_GBK" w:eastAsia="仿宋_GB2312" w:cs="方正仿宋_GBK"/>
                <w:color w:val="000000"/>
                <w:kern w:val="0"/>
                <w:szCs w:val="21"/>
                <w:lang w:bidi="ar"/>
              </w:rPr>
              <w:t>市、县级;省体育局体育产业与基建处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36</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典当行监督检查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50.企业典当经营许可情况的检查</w:t>
            </w:r>
          </w:p>
        </w:tc>
        <w:tc>
          <w:tcPr>
            <w:tcW w:w="702"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部分市州的部分典当行</w:t>
            </w:r>
          </w:p>
        </w:tc>
        <w:tc>
          <w:tcPr>
            <w:tcW w:w="43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10%</w:t>
            </w:r>
          </w:p>
        </w:tc>
        <w:tc>
          <w:tcPr>
            <w:tcW w:w="420"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地方金融管理部门</w:t>
            </w:r>
          </w:p>
        </w:tc>
        <w:tc>
          <w:tcPr>
            <w:tcW w:w="51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市场监管部门</w:t>
            </w:r>
          </w:p>
        </w:tc>
        <w:tc>
          <w:tcPr>
            <w:tcW w:w="451"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全年</w:t>
            </w:r>
          </w:p>
        </w:tc>
        <w:tc>
          <w:tcPr>
            <w:tcW w:w="884"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省级；省地方金融管理局监管二处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51.典当企业及其分支机构擅自变更登记事项情况的检查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52.典当企业法人股东存续情况的检查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53.典当企业虚假出资、抽逃资金情况的检查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37</w:t>
            </w:r>
          </w:p>
        </w:tc>
        <w:tc>
          <w:tcPr>
            <w:tcW w:w="57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养老机构监督检查</w:t>
            </w: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54.养老机构建筑消防设计审查和验收情况检查</w:t>
            </w:r>
          </w:p>
        </w:tc>
        <w:tc>
          <w:tcPr>
            <w:tcW w:w="702"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全省备案登记养老机构</w:t>
            </w:r>
          </w:p>
        </w:tc>
        <w:tc>
          <w:tcPr>
            <w:tcW w:w="438"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市州级10%，县区级30%</w:t>
            </w:r>
          </w:p>
        </w:tc>
        <w:tc>
          <w:tcPr>
            <w:tcW w:w="420"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民政  部门</w:t>
            </w:r>
          </w:p>
        </w:tc>
        <w:tc>
          <w:tcPr>
            <w:tcW w:w="519"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住建(或具体承担相关职能的部门)、消防救援、市场监管部门</w:t>
            </w:r>
          </w:p>
        </w:tc>
        <w:tc>
          <w:tcPr>
            <w:tcW w:w="451"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center"/>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11月底前</w:t>
            </w:r>
          </w:p>
        </w:tc>
        <w:tc>
          <w:tcPr>
            <w:tcW w:w="884" w:type="pct"/>
            <w:vMerge w:val="restart"/>
            <w:tcBorders>
              <w:top w:val="nil"/>
              <w:left w:val="single" w:color="auto" w:sz="4" w:space="0"/>
              <w:bottom w:val="single" w:color="auto" w:sz="4" w:space="0"/>
              <w:right w:val="single" w:color="auto" w:sz="4" w:space="0"/>
            </w:tcBorders>
            <w:noWrap w:val="0"/>
            <w:tcMar>
              <w:left w:w="0" w:type="dxa"/>
              <w:right w:w="0" w:type="dxa"/>
            </w:tcMar>
            <w:vAlign w:val="center"/>
          </w:tcPr>
          <w:p>
            <w:pPr>
              <w:widowControl/>
              <w:spacing w:line="28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市、县级；省民政厅养老服务处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55.养老机构消防设施设备和消防安全管理情况检查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left"/>
              <w:textAlignment w:val="center"/>
              <w:rPr>
                <w:rFonts w:hint="eastAsia" w:ascii="仿宋_GB2312" w:hAnsi="方正仿宋_GBK" w:eastAsia="仿宋_GB2312" w:cs="方正仿宋_GBK"/>
                <w:szCs w:val="21"/>
              </w:rPr>
            </w:pPr>
            <w:r>
              <w:rPr>
                <w:rFonts w:hint="eastAsia" w:ascii="仿宋_GB2312" w:hAnsi="方正仿宋_GBK" w:eastAsia="仿宋_GB2312" w:cs="方正仿宋_GBK"/>
                <w:kern w:val="0"/>
                <w:szCs w:val="21"/>
                <w:lang w:bidi="ar"/>
              </w:rPr>
              <w:t>56.养老机构特种设备使用单位监督检查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left"/>
              <w:textAlignment w:val="center"/>
              <w:rPr>
                <w:rFonts w:hint="eastAsia" w:ascii="仿宋_GB2312" w:hAnsi="方正仿宋_GBK" w:eastAsia="仿宋_GB2312" w:cs="方正仿宋_GBK"/>
                <w:color w:val="FF0000"/>
                <w:kern w:val="0"/>
                <w:szCs w:val="21"/>
              </w:rPr>
            </w:pPr>
            <w:r>
              <w:rPr>
                <w:rFonts w:hint="eastAsia" w:ascii="仿宋_GB2312" w:hAnsi="方正仿宋_GBK" w:eastAsia="仿宋_GB2312" w:cs="方正仿宋_GBK"/>
                <w:kern w:val="0"/>
                <w:szCs w:val="21"/>
                <w:lang w:bidi="ar"/>
              </w:rPr>
              <w:t>57.养老机构食品安全情况抽查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7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755" w:type="pct"/>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widowControl/>
              <w:spacing w:line="240" w:lineRule="exact"/>
              <w:jc w:val="left"/>
              <w:textAlignment w:val="center"/>
              <w:rPr>
                <w:rFonts w:hint="eastAsia" w:ascii="仿宋_GB2312" w:hAnsi="方正仿宋_GBK" w:eastAsia="仿宋_GB2312" w:cs="方正仿宋_GBK"/>
                <w:color w:val="FF0000"/>
                <w:kern w:val="0"/>
                <w:szCs w:val="21"/>
              </w:rPr>
            </w:pPr>
            <w:r>
              <w:rPr>
                <w:rFonts w:hint="eastAsia" w:ascii="仿宋_GB2312" w:hAnsi="方正仿宋_GBK" w:eastAsia="仿宋_GB2312" w:cs="方正仿宋_GBK"/>
                <w:kern w:val="0"/>
                <w:szCs w:val="21"/>
                <w:lang w:bidi="ar"/>
              </w:rPr>
              <w:t>58.养老机构服务质量及安全检查</w:t>
            </w:r>
          </w:p>
        </w:tc>
        <w:tc>
          <w:tcPr>
            <w:tcW w:w="702"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38"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20"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519"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451"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c>
          <w:tcPr>
            <w:tcW w:w="884" w:type="pct"/>
            <w:vMerge w:val="continue"/>
            <w:tcBorders>
              <w:top w:val="nil"/>
              <w:left w:val="single" w:color="auto" w:sz="4" w:space="0"/>
              <w:bottom w:val="single" w:color="auto" w:sz="4" w:space="0"/>
              <w:right w:val="single" w:color="auto" w:sz="4" w:space="0"/>
            </w:tcBorders>
            <w:noWrap w:val="0"/>
            <w:tcMar>
              <w:left w:w="0" w:type="dxa"/>
              <w:right w:w="0" w:type="dxa"/>
            </w:tcMar>
            <w:vAlign w:val="center"/>
          </w:tcPr>
          <w:p>
            <w:pPr>
              <w:spacing w:line="280" w:lineRule="exact"/>
              <w:rPr>
                <w:rFonts w:hint="eastAsia" w:ascii="仿宋_GB2312" w:eastAsia="仿宋_GB2312"/>
                <w:szCs w:val="21"/>
              </w:rPr>
            </w:pPr>
          </w:p>
        </w:tc>
      </w:tr>
    </w:tbl>
    <w:p>
      <w:pPr>
        <w:spacing w:line="300" w:lineRule="exact"/>
        <w:rPr>
          <w:rFonts w:hint="eastAsia" w:ascii="方正楷体_GBK" w:hAnsi="方正楷体_GBK" w:eastAsia="方正楷体_GBK" w:cs="方正楷体_GBK"/>
          <w:b/>
          <w:bCs/>
          <w:color w:val="0000FF"/>
          <w:szCs w:val="21"/>
        </w:rPr>
      </w:pPr>
    </w:p>
    <w:p>
      <w:pPr>
        <w:rPr>
          <w:color w:val="0000FF"/>
        </w:rPr>
      </w:pPr>
    </w:p>
    <w:p>
      <w:pPr>
        <w:rPr>
          <w:b/>
          <w:bCs/>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00"/>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Arial Unicode MS"/>
    <w:panose1 w:val="03000509000000000000"/>
    <w:charset w:val="86"/>
    <w:family w:val="script"/>
    <w:pitch w:val="default"/>
    <w:sig w:usb0="00000000" w:usb1="0000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方正黑体_GBK">
    <w:altName w:val="Arial Unicode MS"/>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41528"/>
    <w:rsid w:val="0F441528"/>
    <w:rsid w:val="77875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2025-03-12T09:21:00Z</dcterms:created>
  <dc:creator>Administrator</dc:creator>
  <cp:lastModifiedBy>Administrator</cp:lastModifiedBy>
  <dcterms:modified xsi:type="dcterms:W3CDTF">2025-03-12T09:22:15Z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6C654FD617D04B36856B6209CFA39067</vt:lpwstr>
  </property>
</Properties>
</file>