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方正小标宋简体" w:cs="Times New Roman"/>
          <w:sz w:val="32"/>
          <w:szCs w:val="32"/>
        </w:rPr>
      </w:pPr>
    </w:p>
    <w:p>
      <w:pPr>
        <w:jc w:val="center"/>
        <w:rPr>
          <w:rFonts w:ascii="Times New Roman" w:hAnsi="Times New Roman" w:eastAsia="方正小标宋简体" w:cs="Times New Roman"/>
          <w:sz w:val="32"/>
          <w:szCs w:val="32"/>
        </w:rPr>
      </w:pPr>
      <w:r>
        <w:rPr>
          <w:rFonts w:ascii="Times New Roman" w:hAnsi="Times New Roman" w:eastAsia="方正小标宋简体" w:cs="Times New Roman"/>
          <w:sz w:val="32"/>
          <w:szCs w:val="32"/>
        </w:rPr>
        <w:t>2019年9月全省就业工作</w:t>
      </w:r>
    </w:p>
    <w:p>
      <w:pPr>
        <w:jc w:val="center"/>
        <w:rPr>
          <w:rFonts w:ascii="Times New Roman" w:hAnsi="Times New Roman" w:eastAsia="方正小标宋简体" w:cs="Times New Roman"/>
          <w:sz w:val="32"/>
          <w:szCs w:val="32"/>
        </w:rPr>
      </w:pPr>
      <w:r>
        <w:rPr>
          <w:rFonts w:ascii="Times New Roman" w:hAnsi="Times New Roman" w:eastAsia="方正小标宋简体" w:cs="Times New Roman"/>
          <w:sz w:val="32"/>
          <w:szCs w:val="32"/>
        </w:rPr>
        <w:t>情 况 分 析</w:t>
      </w:r>
    </w:p>
    <w:p>
      <w:pPr>
        <w:jc w:val="center"/>
        <w:rPr>
          <w:rFonts w:ascii="Times New Roman" w:hAnsi="Times New Roman" w:eastAsia="楷体_GB2312" w:cs="Times New Roman"/>
          <w:sz w:val="24"/>
          <w:szCs w:val="30"/>
        </w:rPr>
      </w:pPr>
    </w:p>
    <w:p>
      <w:pPr>
        <w:spacing w:line="440" w:lineRule="exact"/>
        <w:ind w:firstLine="480" w:firstLineChars="200"/>
        <w:rPr>
          <w:rFonts w:ascii="Times New Roman" w:hAnsi="Times New Roman" w:eastAsia="仿宋" w:cs="Times New Roman"/>
          <w:sz w:val="24"/>
          <w:szCs w:val="30"/>
        </w:rPr>
      </w:pPr>
      <w:r>
        <w:rPr>
          <w:rFonts w:ascii="Times New Roman" w:hAnsi="Times New Roman" w:eastAsia="仿宋" w:cs="Times New Roman"/>
          <w:sz w:val="24"/>
          <w:szCs w:val="30"/>
        </w:rPr>
        <w:t>2019年9月，全省各项就业工作稳步推进，各项目标任务完成有力，全省城镇新增就业70.56万人，完成全年目标任务的100.8%，比去年同期增加3.49%；城镇失业人员再就业23.19万人，完成全年目标任务的115.93%；就业困难人员就业12.3万人，完成全年目标任务的122.98%；期末城镇登记失业率为2.49%，比去年同期略有下降。</w:t>
      </w:r>
    </w:p>
    <w:p>
      <w:pPr>
        <w:jc w:val="center"/>
        <w:rPr>
          <w:rFonts w:ascii="Times New Roman" w:hAnsi="Times New Roman" w:cs="Times New Roman"/>
          <w:sz w:val="24"/>
          <w:szCs w:val="30"/>
        </w:rPr>
      </w:pPr>
      <w:r>
        <w:rPr>
          <w:rFonts w:ascii="Times New Roman" w:hAnsi="Times New Roman" w:cs="Times New Roman"/>
          <w:sz w:val="24"/>
          <w:szCs w:val="30"/>
        </w:rPr>
        <w:drawing>
          <wp:inline distT="0" distB="0" distL="0" distR="0">
            <wp:extent cx="2879725" cy="1806575"/>
            <wp:effectExtent l="19050" t="0" r="15600" b="2648"/>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jc w:val="center"/>
        <w:rPr>
          <w:rFonts w:ascii="Times New Roman" w:hAnsi="Times New Roman" w:eastAsia="楷体_GB2312" w:cs="Times New Roman"/>
          <w:sz w:val="18"/>
          <w:szCs w:val="30"/>
        </w:rPr>
      </w:pPr>
      <w:r>
        <w:rPr>
          <w:rFonts w:ascii="Times New Roman" w:hAnsi="Times New Roman" w:eastAsia="楷体_GB2312" w:cs="Times New Roman"/>
          <w:sz w:val="18"/>
          <w:szCs w:val="30"/>
        </w:rPr>
        <w:t>图一   2019年9月全省就业指标完成情况（单位：%）</w:t>
      </w:r>
    </w:p>
    <w:p>
      <w:pPr>
        <w:ind w:firstLine="482" w:firstLineChars="200"/>
        <w:rPr>
          <w:rFonts w:ascii="Times New Roman" w:hAnsi="Times New Roman" w:eastAsia="楷体" w:cs="Times New Roman"/>
          <w:b/>
          <w:sz w:val="24"/>
          <w:szCs w:val="30"/>
        </w:rPr>
      </w:pPr>
      <w:r>
        <w:rPr>
          <w:rFonts w:ascii="Times New Roman" w:hAnsi="Times New Roman" w:eastAsia="楷体" w:cs="Times New Roman"/>
          <w:b/>
          <w:sz w:val="24"/>
          <w:szCs w:val="30"/>
        </w:rPr>
        <w:t>1、城镇新增就业稳步增长</w:t>
      </w:r>
    </w:p>
    <w:p>
      <w:pPr>
        <w:jc w:val="center"/>
        <w:rPr>
          <w:rFonts w:ascii="Times New Roman" w:hAnsi="Times New Roman" w:cs="Times New Roman"/>
          <w:sz w:val="24"/>
          <w:szCs w:val="30"/>
        </w:rPr>
      </w:pPr>
      <w:r>
        <w:rPr>
          <w:rFonts w:ascii="Times New Roman" w:hAnsi="Times New Roman" w:cs="Times New Roman"/>
          <w:sz w:val="24"/>
          <w:szCs w:val="30"/>
        </w:rPr>
        <w:drawing>
          <wp:inline distT="0" distB="0" distL="0" distR="0">
            <wp:extent cx="2882265" cy="2113280"/>
            <wp:effectExtent l="19050" t="0" r="12892" b="1078"/>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ind w:firstLine="360" w:firstLineChars="200"/>
        <w:jc w:val="center"/>
        <w:rPr>
          <w:rFonts w:ascii="Times New Roman" w:hAnsi="Times New Roman" w:eastAsia="楷体_GB2312" w:cs="Times New Roman"/>
          <w:sz w:val="18"/>
          <w:szCs w:val="30"/>
        </w:rPr>
      </w:pPr>
      <w:r>
        <w:rPr>
          <w:rFonts w:ascii="Times New Roman" w:hAnsi="Times New Roman" w:eastAsia="楷体_GB2312" w:cs="Times New Roman"/>
          <w:sz w:val="18"/>
          <w:szCs w:val="30"/>
        </w:rPr>
        <w:t>图二  近五年9月城镇新增就业情况（单位：万人）</w:t>
      </w:r>
    </w:p>
    <w:p>
      <w:pPr>
        <w:spacing w:line="440" w:lineRule="exact"/>
        <w:ind w:firstLine="480" w:firstLineChars="200"/>
        <w:rPr>
          <w:rFonts w:ascii="Times New Roman" w:hAnsi="Times New Roman" w:eastAsia="仿宋" w:cs="Times New Roman"/>
          <w:sz w:val="24"/>
          <w:szCs w:val="30"/>
        </w:rPr>
      </w:pPr>
      <w:bookmarkStart w:id="1" w:name="_GoBack"/>
      <w:bookmarkEnd w:id="1"/>
      <w:r>
        <w:rPr>
          <w:rFonts w:ascii="Times New Roman" w:hAnsi="Times New Roman" w:eastAsia="仿宋" w:cs="Times New Roman"/>
          <w:sz w:val="24"/>
          <w:szCs w:val="30"/>
        </w:rPr>
        <w:t>截</w:t>
      </w:r>
      <w:r>
        <w:rPr>
          <w:rFonts w:hint="eastAsia" w:ascii="Times New Roman" w:hAnsi="Times New Roman" w:eastAsia="仿宋" w:cs="Times New Roman"/>
          <w:sz w:val="24"/>
          <w:szCs w:val="30"/>
          <w:lang w:eastAsia="zh-CN"/>
        </w:rPr>
        <w:t>至</w:t>
      </w:r>
      <w:r>
        <w:rPr>
          <w:rFonts w:ascii="Times New Roman" w:hAnsi="Times New Roman" w:eastAsia="仿宋" w:cs="Times New Roman"/>
          <w:sz w:val="24"/>
          <w:szCs w:val="30"/>
        </w:rPr>
        <w:t>2019年9月，全省城镇新增就业70.56万人，同比增长3.49%。就业人员主要集中在第三产业，占总人数的57.36%，同比增加16.69%，占比同比增加1.12个百分点；第一产业占比8.62%，同比增加1.09%，占比同比减少1.14个百分点；第二产业占比34.01%，同比增加14.46%，占比同比略有上升。</w:t>
      </w:r>
    </w:p>
    <w:p>
      <w:pPr>
        <w:spacing w:line="440" w:lineRule="exact"/>
        <w:ind w:firstLine="480" w:firstLineChars="200"/>
        <w:rPr>
          <w:rFonts w:ascii="Times New Roman" w:hAnsi="Times New Roman" w:eastAsia="仿宋" w:cs="Times New Roman"/>
          <w:sz w:val="24"/>
          <w:szCs w:val="30"/>
        </w:rPr>
      </w:pPr>
      <w:r>
        <w:rPr>
          <w:rFonts w:ascii="Times New Roman" w:hAnsi="Times New Roman" w:eastAsia="仿宋" w:cs="Times New Roman"/>
          <w:sz w:val="24"/>
          <w:szCs w:val="30"/>
        </w:rPr>
        <w:t>新就业人员按行业情况来看，仍以制造业所占比重最大，占21.52%，批发零售服务占11.74%，居民服务占11.64%，住宿餐饮服务占10.09%。在国家大力推行“减税降费”和“精准扶贫”等相关政策影响下，居民服务从业人数同比有大幅增加，增幅达81.27%；在“互联网+”、跨境电商扶持政策等影响下，与互联网相关的行业如信息传输及计算机服务业新就业人数大幅增加，同比增长15.75%。由于中美贸易战和智能制造等因素影响，汽车行业就业人数大幅减少，同比减少30.18%；住宿餐饮服务、批发零售服务就业人数均有大幅下降，同比分别下降16.29%、13.37%。</w:t>
      </w:r>
    </w:p>
    <w:p>
      <w:pPr>
        <w:jc w:val="center"/>
        <w:rPr>
          <w:rFonts w:ascii="Times New Roman" w:hAnsi="Times New Roman" w:eastAsia="楷体_GB2312" w:cs="Times New Roman"/>
          <w:sz w:val="18"/>
          <w:szCs w:val="30"/>
        </w:rPr>
      </w:pPr>
      <w:r>
        <w:rPr>
          <w:rFonts w:ascii="Times New Roman" w:hAnsi="Times New Roman" w:eastAsia="仿宋" w:cs="Times New Roman"/>
          <w:sz w:val="24"/>
          <w:szCs w:val="30"/>
        </w:rPr>
        <w:drawing>
          <wp:inline distT="0" distB="0" distL="0" distR="0">
            <wp:extent cx="2729230" cy="1799590"/>
            <wp:effectExtent l="19050" t="0" r="13862" b="0"/>
            <wp:docPr id="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jc w:val="center"/>
        <w:rPr>
          <w:rFonts w:ascii="Times New Roman" w:hAnsi="Times New Roman" w:eastAsia="仿宋" w:cs="Times New Roman"/>
          <w:sz w:val="24"/>
          <w:szCs w:val="30"/>
        </w:rPr>
      </w:pPr>
      <w:r>
        <w:rPr>
          <w:rFonts w:ascii="Times New Roman" w:hAnsi="Times New Roman" w:eastAsia="楷体_GB2312" w:cs="Times New Roman"/>
          <w:sz w:val="18"/>
          <w:szCs w:val="30"/>
        </w:rPr>
        <w:t>图三  2019年9月全省新就业人员就业产业分布情况（单位：%）</w:t>
      </w:r>
    </w:p>
    <w:p>
      <w:pPr>
        <w:spacing w:line="440" w:lineRule="exact"/>
        <w:ind w:firstLine="480" w:firstLineChars="200"/>
        <w:rPr>
          <w:rFonts w:ascii="Times New Roman" w:hAnsi="Times New Roman" w:eastAsia="仿宋" w:cs="Times New Roman"/>
          <w:sz w:val="24"/>
          <w:szCs w:val="30"/>
        </w:rPr>
      </w:pPr>
      <w:r>
        <w:rPr>
          <w:rFonts w:ascii="Times New Roman" w:hAnsi="Times New Roman" w:eastAsia="仿宋" w:cs="Times New Roman"/>
          <w:sz w:val="24"/>
          <w:szCs w:val="30"/>
        </w:rPr>
        <w:t>从就业渠道来看，私营企业、个体经济吸纳及灵活就业仍是新就业主要渠道，所占比重分别为39.36%、35.26%。从占比变化来看，本期国有及国有控股、参股企业占比增幅最大，同比增幅高达57.05%；机关事业单位和外商及港澳台投资企业两个渠道新增就业人数同比减少，分别减少6.08%和2.9%。</w:t>
      </w:r>
    </w:p>
    <w:p>
      <w:pPr>
        <w:jc w:val="center"/>
        <w:rPr>
          <w:rFonts w:ascii="Times New Roman" w:hAnsi="Times New Roman" w:eastAsia="仿宋" w:cs="Times New Roman"/>
          <w:sz w:val="24"/>
          <w:szCs w:val="30"/>
        </w:rPr>
      </w:pPr>
      <w:r>
        <w:rPr>
          <w:rFonts w:ascii="Times New Roman" w:hAnsi="Times New Roman" w:eastAsia="仿宋" w:cs="Times New Roman"/>
          <w:sz w:val="24"/>
          <w:szCs w:val="30"/>
        </w:rPr>
        <w:drawing>
          <wp:inline distT="0" distB="0" distL="0" distR="0">
            <wp:extent cx="2723515" cy="1932305"/>
            <wp:effectExtent l="19050" t="0" r="19577" b="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jc w:val="center"/>
        <w:rPr>
          <w:rFonts w:ascii="Times New Roman" w:hAnsi="Times New Roman" w:eastAsia="仿宋" w:cs="Times New Roman"/>
          <w:sz w:val="24"/>
          <w:szCs w:val="30"/>
        </w:rPr>
      </w:pPr>
      <w:r>
        <w:rPr>
          <w:rFonts w:ascii="Times New Roman" w:hAnsi="Times New Roman" w:eastAsia="楷体_GB2312" w:cs="Times New Roman"/>
          <w:sz w:val="18"/>
          <w:szCs w:val="30"/>
        </w:rPr>
        <w:t>图四  2019年9月全省新就业人员就业渠道分布情况（单位：%）</w:t>
      </w:r>
    </w:p>
    <w:p>
      <w:pPr>
        <w:spacing w:line="440" w:lineRule="exact"/>
        <w:ind w:firstLine="480" w:firstLineChars="200"/>
        <w:rPr>
          <w:rFonts w:ascii="Times New Roman" w:hAnsi="Times New Roman" w:eastAsia="仿宋" w:cs="Times New Roman"/>
          <w:sz w:val="24"/>
          <w:szCs w:val="30"/>
        </w:rPr>
      </w:pPr>
      <w:r>
        <w:rPr>
          <w:rFonts w:ascii="Times New Roman" w:hAnsi="Times New Roman" w:eastAsia="仿宋" w:cs="Times New Roman"/>
          <w:sz w:val="24"/>
          <w:szCs w:val="30"/>
        </w:rPr>
        <w:t>从地区分布来看，全省各地市州新就业人数同比去年增长率超过10%的城市有六个，其中神农架林区新就业人数同比增幅高达77.23%；同比减少降幅达20%以上的城市有两个，鄂州、十堰降幅分别为29.63%、25.56%。</w:t>
      </w:r>
    </w:p>
    <w:p>
      <w:pPr>
        <w:spacing w:line="540" w:lineRule="exact"/>
        <w:ind w:firstLine="482" w:firstLineChars="200"/>
        <w:rPr>
          <w:rFonts w:ascii="Times New Roman" w:hAnsi="Times New Roman" w:eastAsia="楷体" w:cs="Times New Roman"/>
          <w:b/>
          <w:sz w:val="24"/>
          <w:szCs w:val="30"/>
        </w:rPr>
      </w:pPr>
      <w:r>
        <w:rPr>
          <w:rFonts w:ascii="Times New Roman" w:hAnsi="Times New Roman" w:eastAsia="楷体" w:cs="Times New Roman"/>
          <w:b/>
          <w:sz w:val="24"/>
          <w:szCs w:val="30"/>
        </w:rPr>
        <w:t>2、农村劳动力转移就业逐步回移</w:t>
      </w:r>
    </w:p>
    <w:p>
      <w:pPr>
        <w:spacing w:line="440" w:lineRule="exact"/>
        <w:ind w:firstLine="480" w:firstLineChars="200"/>
        <w:rPr>
          <w:rFonts w:ascii="Times New Roman" w:hAnsi="Times New Roman" w:eastAsia="仿宋" w:cs="Times New Roman"/>
          <w:sz w:val="24"/>
          <w:szCs w:val="30"/>
        </w:rPr>
      </w:pPr>
      <w:bookmarkStart w:id="0" w:name="OLE_LINK1"/>
      <w:r>
        <w:rPr>
          <w:rFonts w:ascii="Times New Roman" w:hAnsi="Times New Roman" w:eastAsia="仿宋" w:cs="Times New Roman"/>
          <w:sz w:val="24"/>
          <w:szCs w:val="30"/>
        </w:rPr>
        <w:t>2019年9月，全省农村劳动力新转移就业41.75万人，期末实有农村劳动力转移人数1053.9万人，同比去年下降0.12%；转移去向仍以省外转移就业为主，占比为54.68%，其中省外转移地以珠三角地区转移人数最多，占比达22.4%，其次是长三角地区，占比达17.58%；省内县外转移人数较去年同比增加1.99%，占比为23.49%，县内转移（就近就地转移）人数也较去年同比减少1.57%。</w:t>
      </w:r>
    </w:p>
    <w:bookmarkEnd w:id="0"/>
    <w:p>
      <w:pPr>
        <w:jc w:val="center"/>
        <w:rPr>
          <w:rFonts w:ascii="Times New Roman" w:hAnsi="Times New Roman" w:cs="Times New Roman"/>
          <w:sz w:val="24"/>
          <w:szCs w:val="30"/>
        </w:rPr>
      </w:pPr>
      <w:r>
        <w:rPr>
          <w:rFonts w:ascii="Times New Roman" w:hAnsi="Times New Roman" w:cs="Times New Roman"/>
          <w:sz w:val="24"/>
          <w:szCs w:val="30"/>
        </w:rPr>
        <w:drawing>
          <wp:inline distT="0" distB="0" distL="0" distR="0">
            <wp:extent cx="2773680" cy="2052955"/>
            <wp:effectExtent l="19050" t="0" r="26502" b="4313"/>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jc w:val="center"/>
        <w:rPr>
          <w:rFonts w:ascii="Times New Roman" w:hAnsi="Times New Roman" w:eastAsia="楷体_GB2312" w:cs="Times New Roman"/>
          <w:sz w:val="18"/>
          <w:szCs w:val="30"/>
        </w:rPr>
      </w:pPr>
      <w:r>
        <w:rPr>
          <w:rFonts w:ascii="Times New Roman" w:hAnsi="Times New Roman" w:eastAsia="楷体_GB2312" w:cs="Times New Roman"/>
          <w:sz w:val="18"/>
          <w:szCs w:val="30"/>
        </w:rPr>
        <w:t>图五  2015—2019年9月底全省农村劳动力期末实有转移就业人数趋势（单位：万人）</w:t>
      </w:r>
    </w:p>
    <w:p>
      <w:pPr>
        <w:spacing w:line="540" w:lineRule="exact"/>
        <w:ind w:firstLine="458" w:firstLineChars="200"/>
        <w:rPr>
          <w:rFonts w:ascii="Times New Roman" w:hAnsi="Times New Roman" w:eastAsia="楷体" w:cs="Times New Roman"/>
          <w:b/>
          <w:spacing w:val="-6"/>
          <w:sz w:val="24"/>
          <w:szCs w:val="30"/>
        </w:rPr>
      </w:pPr>
      <w:r>
        <w:rPr>
          <w:rFonts w:ascii="Times New Roman" w:hAnsi="Times New Roman" w:eastAsia="楷体" w:cs="Times New Roman"/>
          <w:b/>
          <w:spacing w:val="-6"/>
          <w:sz w:val="24"/>
          <w:szCs w:val="30"/>
        </w:rPr>
        <w:t>3、城镇登记失业就业困难人员小幅回升</w:t>
      </w:r>
    </w:p>
    <w:p>
      <w:pPr>
        <w:spacing w:line="440" w:lineRule="exact"/>
        <w:ind w:firstLine="480" w:firstLineChars="200"/>
        <w:rPr>
          <w:rFonts w:ascii="Times New Roman" w:hAnsi="Times New Roman" w:eastAsia="仿宋" w:cs="Times New Roman"/>
          <w:sz w:val="24"/>
          <w:szCs w:val="30"/>
        </w:rPr>
      </w:pPr>
      <w:r>
        <w:rPr>
          <w:rFonts w:ascii="Times New Roman" w:hAnsi="Times New Roman" w:eastAsia="仿宋" w:cs="Times New Roman"/>
          <w:sz w:val="24"/>
          <w:szCs w:val="30"/>
        </w:rPr>
        <w:t>2019年3季度，全省新增城镇登记失业人员14.32万人，同比下降2.45%；新增失业人员中女性比例略高于男性；高校毕业生登记失业人员出现较大波动，占比为11.95%，同比下降30.4个百分点；就业困难人员占比为36.87%，同比上升43.84个百分点。从近五年3季度情况来看，新增失业人员中女性登记失业人数呈缓慢上升趋势。</w:t>
      </w:r>
    </w:p>
    <w:p>
      <w:pPr>
        <w:jc w:val="center"/>
        <w:rPr>
          <w:rFonts w:ascii="Times New Roman" w:hAnsi="Times New Roman" w:eastAsia="仿宋" w:cs="Times New Roman"/>
          <w:sz w:val="24"/>
          <w:szCs w:val="30"/>
        </w:rPr>
      </w:pPr>
      <w:r>
        <w:rPr>
          <w:rFonts w:ascii="Times New Roman" w:hAnsi="Times New Roman" w:eastAsia="仿宋" w:cs="Times New Roman"/>
          <w:sz w:val="24"/>
          <w:szCs w:val="30"/>
        </w:rPr>
        <w:drawing>
          <wp:inline distT="0" distB="0" distL="0" distR="0">
            <wp:extent cx="2773680" cy="2070100"/>
            <wp:effectExtent l="19050" t="0" r="26502" b="611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jc w:val="center"/>
        <w:rPr>
          <w:rFonts w:ascii="Times New Roman" w:hAnsi="Times New Roman" w:eastAsia="楷体_GB2312" w:cs="Times New Roman"/>
          <w:sz w:val="18"/>
          <w:szCs w:val="30"/>
        </w:rPr>
      </w:pPr>
      <w:r>
        <w:rPr>
          <w:rFonts w:ascii="Times New Roman" w:hAnsi="Times New Roman" w:eastAsia="楷体_GB2312" w:cs="Times New Roman"/>
          <w:sz w:val="18"/>
          <w:szCs w:val="30"/>
        </w:rPr>
        <w:t>图六  2015—2019年3季度新增登记失业人员中三类群体占比趋势（单位：%）</w:t>
      </w:r>
    </w:p>
    <w:p>
      <w:pPr>
        <w:spacing w:line="440" w:lineRule="exact"/>
        <w:ind w:firstLine="480" w:firstLineChars="200"/>
        <w:rPr>
          <w:rFonts w:ascii="Times New Roman" w:hAnsi="Times New Roman" w:eastAsia="仿宋" w:cs="Times New Roman"/>
          <w:sz w:val="24"/>
          <w:szCs w:val="30"/>
        </w:rPr>
      </w:pPr>
      <w:r>
        <w:rPr>
          <w:rFonts w:ascii="Times New Roman" w:hAnsi="Times New Roman" w:eastAsia="仿宋" w:cs="Times New Roman"/>
          <w:sz w:val="24"/>
          <w:szCs w:val="30"/>
        </w:rPr>
        <w:t>2019年3季度，城镇登记失业率为2.49%，同比下降11.48%。从各地市州情况来看，登记失业率最高为3.41%，最低为1.84%。近五年来，我省城镇登记失业率均低于4.5%调控目标。</w:t>
      </w:r>
    </w:p>
    <w:p>
      <w:pPr>
        <w:jc w:val="center"/>
        <w:rPr>
          <w:rFonts w:ascii="Times New Roman" w:hAnsi="Times New Roman" w:cs="Times New Roman"/>
          <w:sz w:val="24"/>
          <w:szCs w:val="30"/>
        </w:rPr>
      </w:pPr>
      <w:r>
        <w:rPr>
          <w:rFonts w:ascii="Times New Roman" w:hAnsi="Times New Roman" w:cs="Times New Roman"/>
          <w:sz w:val="24"/>
          <w:szCs w:val="30"/>
        </w:rPr>
        <w:drawing>
          <wp:inline distT="0" distB="0" distL="0" distR="0">
            <wp:extent cx="2775585" cy="1979930"/>
            <wp:effectExtent l="19050" t="0" r="24597" b="120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jc w:val="center"/>
        <w:rPr>
          <w:rFonts w:ascii="Times New Roman" w:hAnsi="Times New Roman" w:eastAsia="楷体_GB2312" w:cs="Times New Roman"/>
          <w:sz w:val="18"/>
          <w:szCs w:val="30"/>
        </w:rPr>
      </w:pPr>
      <w:r>
        <w:rPr>
          <w:rFonts w:ascii="Times New Roman" w:hAnsi="Times New Roman" w:eastAsia="楷体_GB2312" w:cs="Times New Roman"/>
          <w:sz w:val="18"/>
          <w:szCs w:val="30"/>
        </w:rPr>
        <w:t>图七  2015—2019年9月底期末城镇登记失业率趋势图（单位:%）</w:t>
      </w:r>
    </w:p>
    <w:p>
      <w:pPr>
        <w:spacing w:line="540" w:lineRule="exact"/>
        <w:ind w:firstLine="458" w:firstLineChars="200"/>
        <w:rPr>
          <w:rFonts w:ascii="Times New Roman" w:hAnsi="Times New Roman" w:eastAsia="楷体" w:cs="Times New Roman"/>
          <w:b/>
          <w:spacing w:val="-6"/>
          <w:sz w:val="24"/>
          <w:szCs w:val="30"/>
        </w:rPr>
      </w:pPr>
      <w:r>
        <w:rPr>
          <w:rFonts w:ascii="Times New Roman" w:hAnsi="Times New Roman" w:eastAsia="楷体" w:cs="Times New Roman"/>
          <w:b/>
          <w:spacing w:val="-6"/>
          <w:sz w:val="24"/>
          <w:szCs w:val="30"/>
        </w:rPr>
        <w:t>4、就业补助资金扶持弱势群体成效显著</w:t>
      </w:r>
    </w:p>
    <w:p>
      <w:pPr>
        <w:spacing w:line="440" w:lineRule="exact"/>
        <w:ind w:firstLine="480" w:firstLineChars="200"/>
        <w:rPr>
          <w:rFonts w:ascii="Times New Roman" w:hAnsi="Times New Roman" w:eastAsia="仿宋" w:cs="Times New Roman"/>
          <w:sz w:val="24"/>
          <w:szCs w:val="30"/>
        </w:rPr>
      </w:pPr>
      <w:r>
        <w:rPr>
          <w:rFonts w:ascii="Times New Roman" w:hAnsi="Times New Roman" w:eastAsia="仿宋" w:cs="Times New Roman"/>
          <w:sz w:val="24"/>
          <w:szCs w:val="30"/>
        </w:rPr>
        <w:t>2019年3季度，全省享受就业补助资金政策</w:t>
      </w:r>
      <w:r>
        <w:rPr>
          <w:rFonts w:hint="eastAsia" w:ascii="Times New Roman" w:hAnsi="Times New Roman" w:eastAsia="仿宋" w:cs="Times New Roman"/>
          <w:sz w:val="24"/>
          <w:szCs w:val="30"/>
        </w:rPr>
        <w:t>40</w:t>
      </w:r>
      <w:r>
        <w:rPr>
          <w:rFonts w:ascii="Times New Roman" w:hAnsi="Times New Roman" w:eastAsia="仿宋" w:cs="Times New Roman"/>
          <w:sz w:val="24"/>
          <w:szCs w:val="30"/>
        </w:rPr>
        <w:t>.</w:t>
      </w:r>
      <w:r>
        <w:rPr>
          <w:rFonts w:hint="eastAsia" w:ascii="Times New Roman" w:hAnsi="Times New Roman" w:eastAsia="仿宋" w:cs="Times New Roman"/>
          <w:sz w:val="24"/>
          <w:szCs w:val="30"/>
        </w:rPr>
        <w:t>2</w:t>
      </w:r>
      <w:r>
        <w:rPr>
          <w:rFonts w:ascii="Times New Roman" w:hAnsi="Times New Roman" w:eastAsia="仿宋" w:cs="Times New Roman"/>
          <w:sz w:val="24"/>
          <w:szCs w:val="30"/>
        </w:rPr>
        <w:t>万人次，同比去年增加</w:t>
      </w:r>
      <w:r>
        <w:rPr>
          <w:rFonts w:hint="eastAsia" w:ascii="Times New Roman" w:hAnsi="Times New Roman" w:eastAsia="仿宋" w:cs="Times New Roman"/>
          <w:sz w:val="24"/>
          <w:szCs w:val="30"/>
        </w:rPr>
        <w:t>10</w:t>
      </w:r>
      <w:r>
        <w:rPr>
          <w:rFonts w:ascii="Times New Roman" w:hAnsi="Times New Roman" w:eastAsia="仿宋" w:cs="Times New Roman"/>
          <w:sz w:val="24"/>
          <w:szCs w:val="30"/>
        </w:rPr>
        <w:t>.</w:t>
      </w:r>
      <w:r>
        <w:rPr>
          <w:rFonts w:hint="eastAsia" w:ascii="Times New Roman" w:hAnsi="Times New Roman" w:eastAsia="仿宋" w:cs="Times New Roman"/>
          <w:sz w:val="24"/>
          <w:szCs w:val="30"/>
        </w:rPr>
        <w:t>64</w:t>
      </w:r>
      <w:r>
        <w:rPr>
          <w:rFonts w:ascii="Times New Roman" w:hAnsi="Times New Roman" w:eastAsia="仿宋" w:cs="Times New Roman"/>
          <w:sz w:val="24"/>
          <w:szCs w:val="30"/>
        </w:rPr>
        <w:t>%</w:t>
      </w:r>
      <w:r>
        <w:rPr>
          <w:rFonts w:hint="eastAsia" w:ascii="Times New Roman" w:hAnsi="Times New Roman" w:eastAsia="仿宋" w:cs="Times New Roman"/>
          <w:sz w:val="24"/>
          <w:szCs w:val="30"/>
        </w:rPr>
        <w:t>。</w:t>
      </w:r>
      <w:r>
        <w:rPr>
          <w:rFonts w:ascii="Times New Roman" w:hAnsi="Times New Roman" w:eastAsia="仿宋" w:cs="Times New Roman"/>
          <w:sz w:val="24"/>
          <w:szCs w:val="30"/>
        </w:rPr>
        <w:t>五项补贴（社会保险补贴、公益性岗位补贴、职业培训补贴、技能鉴定补贴、就业见习补贴）享受人数占各项补贴享受总人数的</w:t>
      </w:r>
      <w:r>
        <w:rPr>
          <w:rFonts w:hint="eastAsia" w:ascii="Times New Roman" w:hAnsi="Times New Roman" w:eastAsia="仿宋" w:cs="Times New Roman"/>
          <w:sz w:val="24"/>
          <w:szCs w:val="30"/>
        </w:rPr>
        <w:t>83</w:t>
      </w:r>
      <w:r>
        <w:rPr>
          <w:rFonts w:ascii="Times New Roman" w:hAnsi="Times New Roman" w:eastAsia="仿宋" w:cs="Times New Roman"/>
          <w:sz w:val="24"/>
          <w:szCs w:val="30"/>
        </w:rPr>
        <w:t>.0</w:t>
      </w:r>
      <w:r>
        <w:rPr>
          <w:rFonts w:hint="eastAsia" w:ascii="Times New Roman" w:hAnsi="Times New Roman" w:eastAsia="仿宋" w:cs="Times New Roman"/>
          <w:sz w:val="24"/>
          <w:szCs w:val="30"/>
        </w:rPr>
        <w:t>2</w:t>
      </w:r>
      <w:r>
        <w:rPr>
          <w:rFonts w:ascii="Times New Roman" w:hAnsi="Times New Roman" w:eastAsia="仿宋" w:cs="Times New Roman"/>
          <w:sz w:val="24"/>
          <w:szCs w:val="30"/>
        </w:rPr>
        <w:t>%</w:t>
      </w:r>
      <w:r>
        <w:rPr>
          <w:rFonts w:hint="eastAsia" w:ascii="Times New Roman" w:hAnsi="Times New Roman" w:eastAsia="仿宋" w:cs="Times New Roman"/>
          <w:sz w:val="24"/>
          <w:szCs w:val="30"/>
        </w:rPr>
        <w:t>，</w:t>
      </w:r>
      <w:r>
        <w:rPr>
          <w:rFonts w:ascii="Times New Roman" w:hAnsi="Times New Roman" w:eastAsia="仿宋" w:cs="Times New Roman"/>
          <w:sz w:val="24"/>
          <w:szCs w:val="30"/>
        </w:rPr>
        <w:t>同比去年享受人数整体增加3.56%，其中，职业培训补贴人数同比增幅达50.91%，而本期技能鉴定人数同比降幅达37.51%。</w:t>
      </w:r>
    </w:p>
    <w:p>
      <w:pPr>
        <w:spacing w:line="440" w:lineRule="exact"/>
        <w:ind w:firstLine="480" w:firstLineChars="200"/>
        <w:rPr>
          <w:rFonts w:ascii="Times New Roman" w:hAnsi="Times New Roman" w:eastAsia="仿宋" w:cs="Times New Roman"/>
          <w:sz w:val="24"/>
          <w:szCs w:val="30"/>
        </w:rPr>
      </w:pPr>
      <w:r>
        <w:rPr>
          <w:rFonts w:ascii="Times New Roman" w:hAnsi="Times New Roman" w:eastAsia="仿宋" w:cs="Times New Roman"/>
          <w:sz w:val="24"/>
          <w:szCs w:val="30"/>
        </w:rPr>
        <w:t>从五项补贴享受人数所占比例看，享受社会保险补贴人数（包括创业培训）占比最高，占比为48.05%，其次是职业培训补贴人数，占比为31.4%。</w:t>
      </w:r>
    </w:p>
    <w:p>
      <w:pPr>
        <w:spacing w:before="120"/>
        <w:jc w:val="center"/>
        <w:rPr>
          <w:rFonts w:ascii="Times New Roman" w:hAnsi="Times New Roman" w:eastAsia="仿宋" w:cs="Times New Roman"/>
          <w:sz w:val="24"/>
          <w:szCs w:val="30"/>
        </w:rPr>
      </w:pPr>
      <w:r>
        <w:rPr>
          <w:rFonts w:ascii="Times New Roman" w:hAnsi="Times New Roman" w:eastAsia="仿宋" w:cs="Times New Roman"/>
          <w:sz w:val="24"/>
          <w:szCs w:val="30"/>
        </w:rPr>
        <w:drawing>
          <wp:inline distT="0" distB="0" distL="0" distR="0">
            <wp:extent cx="2773680" cy="1979930"/>
            <wp:effectExtent l="19050" t="0" r="26502" b="1200"/>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jc w:val="center"/>
        <w:rPr>
          <w:rFonts w:ascii="Times New Roman" w:hAnsi="Times New Roman" w:eastAsia="楷体_GB2312" w:cs="Times New Roman"/>
          <w:sz w:val="18"/>
          <w:szCs w:val="30"/>
        </w:rPr>
      </w:pPr>
      <w:r>
        <w:rPr>
          <w:rFonts w:ascii="Times New Roman" w:hAnsi="Times New Roman" w:eastAsia="楷体_GB2312" w:cs="Times New Roman"/>
          <w:sz w:val="18"/>
          <w:szCs w:val="30"/>
        </w:rPr>
        <w:t>图八  2019年3季度五项补贴政策享受人数占比分布（单位：%）</w:t>
      </w:r>
    </w:p>
    <w:p>
      <w:pPr>
        <w:spacing w:line="440" w:lineRule="exact"/>
        <w:ind w:firstLine="480" w:firstLineChars="200"/>
        <w:rPr>
          <w:rFonts w:ascii="Times New Roman" w:hAnsi="Times New Roman" w:eastAsia="仿宋" w:cs="Times New Roman"/>
          <w:sz w:val="24"/>
          <w:szCs w:val="30"/>
        </w:rPr>
      </w:pPr>
      <w:r>
        <w:rPr>
          <w:rFonts w:ascii="Times New Roman" w:hAnsi="Times New Roman" w:eastAsia="仿宋" w:cs="Times New Roman"/>
          <w:sz w:val="24"/>
          <w:szCs w:val="30"/>
        </w:rPr>
        <w:t>2019年3季度，就业补助资金支出9.41亿元，同比增加1.06%。在各项支出中，五项补贴资金（职业培训补贴、社会保险补贴、公益性岗位补贴、职业技能鉴定补贴、就业见习补贴）占就业补助资金总支出的76.8%。其中，社会保险补贴支出金额，占比为39.99%；其次是公益性岗位补贴支出，占比为28.42%；就业见习补贴和职业技能鉴定补贴占比较低，仅占0.31%和0.25%。</w:t>
      </w:r>
    </w:p>
    <w:p>
      <w:pPr>
        <w:jc w:val="center"/>
        <w:rPr>
          <w:rFonts w:ascii="Times New Roman" w:hAnsi="Times New Roman" w:eastAsia="楷体_GB2312" w:cs="Times New Roman"/>
          <w:sz w:val="18"/>
          <w:szCs w:val="30"/>
        </w:rPr>
      </w:pPr>
      <w:r>
        <w:rPr>
          <w:rFonts w:ascii="Times New Roman" w:hAnsi="Times New Roman" w:cs="Times New Roman"/>
          <w:sz w:val="24"/>
          <w:szCs w:val="30"/>
        </w:rPr>
        <w:drawing>
          <wp:inline distT="0" distB="0" distL="0" distR="0">
            <wp:extent cx="2771775" cy="2156460"/>
            <wp:effectExtent l="19050" t="0" r="28350" b="0"/>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cs="Times New Roman"/>
          <w:sz w:val="24"/>
          <w:szCs w:val="30"/>
        </w:rPr>
        <w:t xml:space="preserve"> </w:t>
      </w:r>
      <w:r>
        <w:rPr>
          <w:rFonts w:ascii="Times New Roman" w:hAnsi="Times New Roman" w:eastAsia="楷体_GB2312" w:cs="Times New Roman"/>
          <w:sz w:val="18"/>
          <w:szCs w:val="30"/>
        </w:rPr>
        <w:t xml:space="preserve">   图九  2015—2019年3季度享受五项补贴支出金额情况（单位：万元）</w:t>
      </w:r>
    </w:p>
    <w:p>
      <w:pPr>
        <w:spacing w:before="120" w:line="540" w:lineRule="exact"/>
        <w:ind w:firstLine="482" w:firstLineChars="200"/>
        <w:rPr>
          <w:rFonts w:ascii="Times New Roman" w:hAnsi="Times New Roman" w:eastAsia="楷体" w:cs="Times New Roman"/>
          <w:b/>
          <w:sz w:val="24"/>
          <w:szCs w:val="30"/>
        </w:rPr>
      </w:pPr>
      <w:r>
        <w:rPr>
          <w:rFonts w:ascii="Times New Roman" w:hAnsi="Times New Roman" w:eastAsia="楷体" w:cs="Times New Roman"/>
          <w:b/>
          <w:sz w:val="24"/>
          <w:szCs w:val="30"/>
        </w:rPr>
        <w:t>5、就业培训工作逐渐向就业弱势群体转移</w:t>
      </w:r>
    </w:p>
    <w:p>
      <w:pPr>
        <w:spacing w:line="440" w:lineRule="exact"/>
        <w:ind w:firstLine="480" w:firstLineChars="200"/>
        <w:rPr>
          <w:rFonts w:ascii="Times New Roman" w:hAnsi="Times New Roman" w:eastAsia="仿宋" w:cs="Times New Roman"/>
          <w:sz w:val="24"/>
          <w:szCs w:val="30"/>
        </w:rPr>
      </w:pPr>
      <w:r>
        <w:rPr>
          <w:rFonts w:ascii="Times New Roman" w:hAnsi="Times New Roman" w:eastAsia="仿宋" w:cs="Times New Roman"/>
          <w:sz w:val="24"/>
          <w:szCs w:val="30"/>
        </w:rPr>
        <w:t>2019年9月，全省公共就业服务机构共培训各类劳动者35.37万人，补贴人数18.9万人，实现创业成功1.24万人，带动就业3.69万人。从培训类型来看，以就业技能培训为主，占比为63.2%，其次为创业培训，占比为32.24%。从培训学员的人员类别来看，仍以转移就业劳动者为主，占比为53.93%，其次是城镇失业人员，占比为26.92%，贫困家庭子女和毕业年度高校毕业生占比分别为11.68%和1.37%。</w:t>
      </w:r>
    </w:p>
    <w:p>
      <w:pPr>
        <w:jc w:val="center"/>
        <w:rPr>
          <w:rFonts w:ascii="Times New Roman" w:hAnsi="Times New Roman" w:eastAsia="楷体_GB2312" w:cs="Times New Roman"/>
          <w:sz w:val="18"/>
          <w:szCs w:val="30"/>
        </w:rPr>
      </w:pPr>
      <w:r>
        <w:rPr>
          <w:rFonts w:ascii="Times New Roman" w:hAnsi="Times New Roman" w:cs="Times New Roman"/>
          <w:sz w:val="24"/>
          <w:szCs w:val="30"/>
        </w:rPr>
        <w:drawing>
          <wp:inline distT="0" distB="0" distL="0" distR="0">
            <wp:extent cx="2773680" cy="1979930"/>
            <wp:effectExtent l="19050" t="0" r="26502" b="1200"/>
            <wp:docPr id="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ascii="Times New Roman" w:hAnsi="Times New Roman" w:cs="Times New Roman"/>
          <w:sz w:val="24"/>
          <w:szCs w:val="30"/>
        </w:rPr>
        <w:t xml:space="preserve"> </w:t>
      </w:r>
      <w:r>
        <w:rPr>
          <w:rFonts w:ascii="Times New Roman" w:hAnsi="Times New Roman" w:eastAsia="楷体_GB2312" w:cs="Times New Roman"/>
          <w:sz w:val="18"/>
          <w:szCs w:val="30"/>
        </w:rPr>
        <w:t>图十  2019年9月培训人数与补贴人数（单位：万人）</w:t>
      </w:r>
    </w:p>
    <w:sectPr>
      <w:footerReference r:id="rId3" w:type="default"/>
      <w:footerReference r:id="rId4" w:type="even"/>
      <w:pgSz w:w="5954" w:h="11340"/>
      <w:pgMar w:top="510" w:right="794" w:bottom="510" w:left="794" w:header="851"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21"/>
      </w:rPr>
    </w:pPr>
    <w:sdt>
      <w:sdtPr>
        <w:id w:val="18470269"/>
        <w:docPartObj>
          <w:docPartGallery w:val="AutoText"/>
        </w:docPartObj>
      </w:sdtPr>
      <w:sdtEndPr>
        <w:rPr>
          <w:sz w:val="21"/>
        </w:rPr>
      </w:sdtEndPr>
      <w:sdtContent>
        <w:r>
          <w:rPr>
            <w:rFonts w:hint="eastAsia" w:asciiTheme="minorEastAsia" w:hAnsiTheme="minorEastAsia"/>
            <w:sz w:val="24"/>
            <w:szCs w:val="21"/>
          </w:rPr>
          <w:t xml:space="preserve">— </w:t>
        </w:r>
        <w:r>
          <w:rPr>
            <w:rFonts w:cs="Times New Roman" w:asciiTheme="minorEastAsia" w:hAnsiTheme="minorEastAsia"/>
            <w:sz w:val="24"/>
            <w:szCs w:val="21"/>
          </w:rPr>
          <w:fldChar w:fldCharType="begin"/>
        </w:r>
        <w:r>
          <w:rPr>
            <w:rFonts w:cs="Times New Roman" w:asciiTheme="minorEastAsia" w:hAnsiTheme="minorEastAsia"/>
            <w:sz w:val="24"/>
            <w:szCs w:val="21"/>
          </w:rPr>
          <w:instrText xml:space="preserve"> PAGE   \* MERGEFORMAT </w:instrText>
        </w:r>
        <w:r>
          <w:rPr>
            <w:rFonts w:cs="Times New Roman" w:asciiTheme="minorEastAsia" w:hAnsiTheme="minorEastAsia"/>
            <w:sz w:val="24"/>
            <w:szCs w:val="21"/>
          </w:rPr>
          <w:fldChar w:fldCharType="separate"/>
        </w:r>
        <w:r>
          <w:rPr>
            <w:rFonts w:cs="Times New Roman" w:asciiTheme="minorEastAsia" w:hAnsiTheme="minorEastAsia"/>
            <w:sz w:val="24"/>
            <w:szCs w:val="21"/>
            <w:lang w:val="zh-CN"/>
          </w:rPr>
          <w:t>9</w:t>
        </w:r>
        <w:r>
          <w:rPr>
            <w:rFonts w:cs="Times New Roman" w:asciiTheme="minorEastAsia" w:hAnsiTheme="minorEastAsia"/>
            <w:sz w:val="24"/>
            <w:szCs w:val="21"/>
          </w:rPr>
          <w:fldChar w:fldCharType="end"/>
        </w:r>
        <w:r>
          <w:rPr>
            <w:rFonts w:hint="eastAsia" w:cs="Times New Roman" w:asciiTheme="minorEastAsia" w:hAnsiTheme="minorEastAsia"/>
            <w:sz w:val="24"/>
            <w:szCs w:val="21"/>
          </w:rPr>
          <w:t xml:space="preserve"> </w:t>
        </w:r>
        <w:r>
          <w:rPr>
            <w:rFonts w:hint="eastAsia" w:asciiTheme="minorEastAsia" w:hAnsiTheme="minorEastAsia"/>
            <w:sz w:val="24"/>
            <w:szCs w:val="21"/>
          </w:rPr>
          <w: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sdt>
      <w:sdtPr>
        <w:id w:val="771436164"/>
        <w:docPartObj>
          <w:docPartGallery w:val="AutoText"/>
        </w:docPartObj>
      </w:sdtPr>
      <w:sdtEndPr>
        <w:rPr>
          <w:rFonts w:asciiTheme="minorEastAsia" w:hAnsiTheme="minorEastAsia"/>
          <w:sz w:val="24"/>
          <w:szCs w:val="21"/>
        </w:rPr>
      </w:sdtEndPr>
      <w:sdtContent>
        <w:r>
          <w:rPr>
            <w:rFonts w:hint="eastAsia" w:asciiTheme="minorEastAsia" w:hAnsiTheme="minorEastAsia"/>
            <w:sz w:val="24"/>
            <w:szCs w:val="21"/>
          </w:rPr>
          <w:t xml:space="preserve">— </w:t>
        </w:r>
        <w:r>
          <w:rPr>
            <w:rFonts w:asciiTheme="minorEastAsia" w:hAnsiTheme="minorEastAsia"/>
            <w:sz w:val="24"/>
            <w:szCs w:val="21"/>
          </w:rPr>
          <w:fldChar w:fldCharType="begin"/>
        </w:r>
        <w:r>
          <w:rPr>
            <w:rFonts w:asciiTheme="minorEastAsia" w:hAnsiTheme="minorEastAsia"/>
            <w:sz w:val="24"/>
            <w:szCs w:val="21"/>
          </w:rPr>
          <w:instrText xml:space="preserve"> PAGE   \* MERGEFORMAT </w:instrText>
        </w:r>
        <w:r>
          <w:rPr>
            <w:rFonts w:asciiTheme="minorEastAsia" w:hAnsiTheme="minorEastAsia"/>
            <w:sz w:val="24"/>
            <w:szCs w:val="21"/>
          </w:rPr>
          <w:fldChar w:fldCharType="separate"/>
        </w:r>
        <w:r>
          <w:rPr>
            <w:rFonts w:asciiTheme="minorEastAsia" w:hAnsiTheme="minorEastAsia"/>
            <w:sz w:val="24"/>
            <w:szCs w:val="21"/>
            <w:lang w:val="zh-CN"/>
          </w:rPr>
          <w:t>8</w:t>
        </w:r>
        <w:r>
          <w:rPr>
            <w:rFonts w:asciiTheme="minorEastAsia" w:hAnsiTheme="minorEastAsia"/>
            <w:sz w:val="24"/>
            <w:szCs w:val="21"/>
          </w:rPr>
          <w:fldChar w:fldCharType="end"/>
        </w:r>
        <w:r>
          <w:rPr>
            <w:rFonts w:hint="eastAsia" w:asciiTheme="minorEastAsia" w:hAnsiTheme="minorEastAsia"/>
            <w:sz w:val="24"/>
            <w:szCs w:val="21"/>
          </w:rPr>
          <w:t xml:space="preserve"> </w:t>
        </w:r>
      </w:sdtContent>
    </w:sdt>
    <w:r>
      <w:rPr>
        <w:rFonts w:hint="eastAsia" w:asciiTheme="minorEastAsia" w:hAnsiTheme="minorEastAsia"/>
        <w:sz w:val="24"/>
        <w:szCs w:val="21"/>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E4141"/>
    <w:rsid w:val="0000392A"/>
    <w:rsid w:val="00005AF2"/>
    <w:rsid w:val="00006D69"/>
    <w:rsid w:val="00011AB0"/>
    <w:rsid w:val="000121CF"/>
    <w:rsid w:val="0001740A"/>
    <w:rsid w:val="000209CB"/>
    <w:rsid w:val="00027FEA"/>
    <w:rsid w:val="00034DDB"/>
    <w:rsid w:val="000360DB"/>
    <w:rsid w:val="00041E41"/>
    <w:rsid w:val="000422AA"/>
    <w:rsid w:val="00046C2F"/>
    <w:rsid w:val="00051F46"/>
    <w:rsid w:val="00063CD7"/>
    <w:rsid w:val="00066B17"/>
    <w:rsid w:val="000738AC"/>
    <w:rsid w:val="00080685"/>
    <w:rsid w:val="00082F28"/>
    <w:rsid w:val="00083173"/>
    <w:rsid w:val="00090379"/>
    <w:rsid w:val="00092DED"/>
    <w:rsid w:val="00097975"/>
    <w:rsid w:val="000A01D7"/>
    <w:rsid w:val="000B2AB0"/>
    <w:rsid w:val="000B5CD7"/>
    <w:rsid w:val="000C57A0"/>
    <w:rsid w:val="000C5B46"/>
    <w:rsid w:val="000C66A1"/>
    <w:rsid w:val="000D5D5F"/>
    <w:rsid w:val="000E042E"/>
    <w:rsid w:val="000E213F"/>
    <w:rsid w:val="000E4950"/>
    <w:rsid w:val="000E5882"/>
    <w:rsid w:val="000E7CFC"/>
    <w:rsid w:val="000F596A"/>
    <w:rsid w:val="000F711E"/>
    <w:rsid w:val="00107552"/>
    <w:rsid w:val="00110FF9"/>
    <w:rsid w:val="001111A4"/>
    <w:rsid w:val="00111406"/>
    <w:rsid w:val="001121A2"/>
    <w:rsid w:val="001130F0"/>
    <w:rsid w:val="00113D1F"/>
    <w:rsid w:val="00116495"/>
    <w:rsid w:val="00116CCE"/>
    <w:rsid w:val="00117F05"/>
    <w:rsid w:val="0012728F"/>
    <w:rsid w:val="00133E6F"/>
    <w:rsid w:val="00134451"/>
    <w:rsid w:val="00134E7B"/>
    <w:rsid w:val="001370FE"/>
    <w:rsid w:val="001402FE"/>
    <w:rsid w:val="00143768"/>
    <w:rsid w:val="00144001"/>
    <w:rsid w:val="0015066F"/>
    <w:rsid w:val="00151B32"/>
    <w:rsid w:val="00153F6C"/>
    <w:rsid w:val="00155576"/>
    <w:rsid w:val="00155DD4"/>
    <w:rsid w:val="00157158"/>
    <w:rsid w:val="00163AC0"/>
    <w:rsid w:val="00173BA9"/>
    <w:rsid w:val="0017726A"/>
    <w:rsid w:val="00177B9D"/>
    <w:rsid w:val="00187F72"/>
    <w:rsid w:val="00193BD4"/>
    <w:rsid w:val="001A39C2"/>
    <w:rsid w:val="001B6174"/>
    <w:rsid w:val="001B638C"/>
    <w:rsid w:val="001C1BE2"/>
    <w:rsid w:val="001C3FB1"/>
    <w:rsid w:val="001D127F"/>
    <w:rsid w:val="001D1BA6"/>
    <w:rsid w:val="001D6973"/>
    <w:rsid w:val="001F1C87"/>
    <w:rsid w:val="001F47CC"/>
    <w:rsid w:val="00203187"/>
    <w:rsid w:val="00214909"/>
    <w:rsid w:val="002338C4"/>
    <w:rsid w:val="00237020"/>
    <w:rsid w:val="002407EE"/>
    <w:rsid w:val="002451D6"/>
    <w:rsid w:val="00247ED8"/>
    <w:rsid w:val="00261281"/>
    <w:rsid w:val="00261B1A"/>
    <w:rsid w:val="0026479C"/>
    <w:rsid w:val="00264DD7"/>
    <w:rsid w:val="00270CA5"/>
    <w:rsid w:val="00270F8C"/>
    <w:rsid w:val="0027106F"/>
    <w:rsid w:val="00283399"/>
    <w:rsid w:val="00296ABD"/>
    <w:rsid w:val="00297B08"/>
    <w:rsid w:val="002A1471"/>
    <w:rsid w:val="002B11D3"/>
    <w:rsid w:val="002B3422"/>
    <w:rsid w:val="002C3BFD"/>
    <w:rsid w:val="002C3F4D"/>
    <w:rsid w:val="002D01A1"/>
    <w:rsid w:val="002D2D25"/>
    <w:rsid w:val="002E2358"/>
    <w:rsid w:val="002E4F67"/>
    <w:rsid w:val="002E6683"/>
    <w:rsid w:val="002F11DA"/>
    <w:rsid w:val="00301DD3"/>
    <w:rsid w:val="0031125D"/>
    <w:rsid w:val="0031512E"/>
    <w:rsid w:val="003153D5"/>
    <w:rsid w:val="00315E9E"/>
    <w:rsid w:val="0031642F"/>
    <w:rsid w:val="00326804"/>
    <w:rsid w:val="003348BD"/>
    <w:rsid w:val="00344AAA"/>
    <w:rsid w:val="003579E7"/>
    <w:rsid w:val="003628E1"/>
    <w:rsid w:val="003635B4"/>
    <w:rsid w:val="003667ED"/>
    <w:rsid w:val="003713D2"/>
    <w:rsid w:val="0037141A"/>
    <w:rsid w:val="00390A92"/>
    <w:rsid w:val="003B12F4"/>
    <w:rsid w:val="003B3535"/>
    <w:rsid w:val="003C4FCE"/>
    <w:rsid w:val="003D075F"/>
    <w:rsid w:val="003D31AC"/>
    <w:rsid w:val="003E4141"/>
    <w:rsid w:val="003E7F25"/>
    <w:rsid w:val="003F3F14"/>
    <w:rsid w:val="00404A7F"/>
    <w:rsid w:val="00407C64"/>
    <w:rsid w:val="00424E79"/>
    <w:rsid w:val="00430574"/>
    <w:rsid w:val="00430AD9"/>
    <w:rsid w:val="00433F59"/>
    <w:rsid w:val="00435748"/>
    <w:rsid w:val="00443682"/>
    <w:rsid w:val="004467BB"/>
    <w:rsid w:val="00466C87"/>
    <w:rsid w:val="0047538E"/>
    <w:rsid w:val="0048237B"/>
    <w:rsid w:val="004824FC"/>
    <w:rsid w:val="004842C2"/>
    <w:rsid w:val="004922DF"/>
    <w:rsid w:val="00497775"/>
    <w:rsid w:val="00497C9B"/>
    <w:rsid w:val="004A1CA6"/>
    <w:rsid w:val="004A3F6E"/>
    <w:rsid w:val="004A7104"/>
    <w:rsid w:val="004A74B9"/>
    <w:rsid w:val="004B67DE"/>
    <w:rsid w:val="004C26BC"/>
    <w:rsid w:val="004D4AE2"/>
    <w:rsid w:val="004D596A"/>
    <w:rsid w:val="004D6397"/>
    <w:rsid w:val="004E00FF"/>
    <w:rsid w:val="004E3D56"/>
    <w:rsid w:val="004E77A1"/>
    <w:rsid w:val="004F2E26"/>
    <w:rsid w:val="00502B46"/>
    <w:rsid w:val="00505038"/>
    <w:rsid w:val="005063B7"/>
    <w:rsid w:val="005161C6"/>
    <w:rsid w:val="00521592"/>
    <w:rsid w:val="00524E47"/>
    <w:rsid w:val="00526F58"/>
    <w:rsid w:val="00530845"/>
    <w:rsid w:val="005311D3"/>
    <w:rsid w:val="0053690F"/>
    <w:rsid w:val="00541C5F"/>
    <w:rsid w:val="00543E71"/>
    <w:rsid w:val="00546634"/>
    <w:rsid w:val="00557534"/>
    <w:rsid w:val="005636F9"/>
    <w:rsid w:val="005671AE"/>
    <w:rsid w:val="00573D6C"/>
    <w:rsid w:val="005745EF"/>
    <w:rsid w:val="005952BB"/>
    <w:rsid w:val="0059790F"/>
    <w:rsid w:val="005A5967"/>
    <w:rsid w:val="005A62AE"/>
    <w:rsid w:val="005A674E"/>
    <w:rsid w:val="005A790E"/>
    <w:rsid w:val="005B3A6E"/>
    <w:rsid w:val="005B4DB6"/>
    <w:rsid w:val="005B5254"/>
    <w:rsid w:val="005C0768"/>
    <w:rsid w:val="005C35A3"/>
    <w:rsid w:val="005D6B90"/>
    <w:rsid w:val="005E0901"/>
    <w:rsid w:val="005E160A"/>
    <w:rsid w:val="005E3C0E"/>
    <w:rsid w:val="005E4B51"/>
    <w:rsid w:val="005E57F5"/>
    <w:rsid w:val="005F1884"/>
    <w:rsid w:val="005F5F8D"/>
    <w:rsid w:val="005F710B"/>
    <w:rsid w:val="006031B6"/>
    <w:rsid w:val="00604ECF"/>
    <w:rsid w:val="00606B23"/>
    <w:rsid w:val="0061194E"/>
    <w:rsid w:val="00617DD3"/>
    <w:rsid w:val="00620339"/>
    <w:rsid w:val="00622B65"/>
    <w:rsid w:val="00623096"/>
    <w:rsid w:val="00626E81"/>
    <w:rsid w:val="00635022"/>
    <w:rsid w:val="00637F4D"/>
    <w:rsid w:val="006419F4"/>
    <w:rsid w:val="006446F2"/>
    <w:rsid w:val="00654453"/>
    <w:rsid w:val="00663743"/>
    <w:rsid w:val="00671896"/>
    <w:rsid w:val="006746F9"/>
    <w:rsid w:val="00675F33"/>
    <w:rsid w:val="0068667E"/>
    <w:rsid w:val="00690A67"/>
    <w:rsid w:val="00697375"/>
    <w:rsid w:val="006A46FD"/>
    <w:rsid w:val="006A6FE6"/>
    <w:rsid w:val="006A70C1"/>
    <w:rsid w:val="006B2CC9"/>
    <w:rsid w:val="006B4D62"/>
    <w:rsid w:val="006C60FA"/>
    <w:rsid w:val="006C689E"/>
    <w:rsid w:val="006D0B70"/>
    <w:rsid w:val="006D58FF"/>
    <w:rsid w:val="006D5B0D"/>
    <w:rsid w:val="006E257E"/>
    <w:rsid w:val="006E3B01"/>
    <w:rsid w:val="006E4A69"/>
    <w:rsid w:val="006E6CD6"/>
    <w:rsid w:val="006F12B9"/>
    <w:rsid w:val="006F2E55"/>
    <w:rsid w:val="00703EEF"/>
    <w:rsid w:val="0070515B"/>
    <w:rsid w:val="00710F38"/>
    <w:rsid w:val="007116DE"/>
    <w:rsid w:val="00721658"/>
    <w:rsid w:val="00724A43"/>
    <w:rsid w:val="00724D72"/>
    <w:rsid w:val="00732F1D"/>
    <w:rsid w:val="00736A13"/>
    <w:rsid w:val="00743292"/>
    <w:rsid w:val="00744A74"/>
    <w:rsid w:val="00744D61"/>
    <w:rsid w:val="00747A3F"/>
    <w:rsid w:val="00751682"/>
    <w:rsid w:val="00757906"/>
    <w:rsid w:val="00764FD9"/>
    <w:rsid w:val="00783227"/>
    <w:rsid w:val="00787DE7"/>
    <w:rsid w:val="00793BB9"/>
    <w:rsid w:val="0079413F"/>
    <w:rsid w:val="007A5B78"/>
    <w:rsid w:val="007A6B0F"/>
    <w:rsid w:val="007A76B9"/>
    <w:rsid w:val="007C1393"/>
    <w:rsid w:val="007C7764"/>
    <w:rsid w:val="007C782B"/>
    <w:rsid w:val="007C7BC1"/>
    <w:rsid w:val="007D159E"/>
    <w:rsid w:val="007D3529"/>
    <w:rsid w:val="007E0768"/>
    <w:rsid w:val="007E1BD2"/>
    <w:rsid w:val="007F25EE"/>
    <w:rsid w:val="007F7585"/>
    <w:rsid w:val="008044FF"/>
    <w:rsid w:val="00805C8A"/>
    <w:rsid w:val="008060B1"/>
    <w:rsid w:val="008127E8"/>
    <w:rsid w:val="00815DD5"/>
    <w:rsid w:val="008272B5"/>
    <w:rsid w:val="00827711"/>
    <w:rsid w:val="0083453A"/>
    <w:rsid w:val="008410C8"/>
    <w:rsid w:val="00846B49"/>
    <w:rsid w:val="00846CF6"/>
    <w:rsid w:val="00847E77"/>
    <w:rsid w:val="008554D6"/>
    <w:rsid w:val="00857C74"/>
    <w:rsid w:val="00860046"/>
    <w:rsid w:val="0086411E"/>
    <w:rsid w:val="00864264"/>
    <w:rsid w:val="00866B54"/>
    <w:rsid w:val="00867C50"/>
    <w:rsid w:val="00882E08"/>
    <w:rsid w:val="00883BFF"/>
    <w:rsid w:val="0089322F"/>
    <w:rsid w:val="008932AF"/>
    <w:rsid w:val="00896D29"/>
    <w:rsid w:val="008A1B92"/>
    <w:rsid w:val="008A3647"/>
    <w:rsid w:val="008A5BE7"/>
    <w:rsid w:val="008A60DA"/>
    <w:rsid w:val="008A6718"/>
    <w:rsid w:val="008A7D32"/>
    <w:rsid w:val="008B172F"/>
    <w:rsid w:val="008B4BB0"/>
    <w:rsid w:val="008C2C54"/>
    <w:rsid w:val="008D5963"/>
    <w:rsid w:val="008E1732"/>
    <w:rsid w:val="008E6C1E"/>
    <w:rsid w:val="008E6DCC"/>
    <w:rsid w:val="008F29C5"/>
    <w:rsid w:val="008F2B5E"/>
    <w:rsid w:val="008F401D"/>
    <w:rsid w:val="0090112E"/>
    <w:rsid w:val="0090176C"/>
    <w:rsid w:val="00911F5E"/>
    <w:rsid w:val="00914A46"/>
    <w:rsid w:val="00920F06"/>
    <w:rsid w:val="00923149"/>
    <w:rsid w:val="00923809"/>
    <w:rsid w:val="0093683D"/>
    <w:rsid w:val="00937905"/>
    <w:rsid w:val="00937DBD"/>
    <w:rsid w:val="009412CF"/>
    <w:rsid w:val="009715DE"/>
    <w:rsid w:val="00974C83"/>
    <w:rsid w:val="00983EC3"/>
    <w:rsid w:val="00985D05"/>
    <w:rsid w:val="00986120"/>
    <w:rsid w:val="00992E55"/>
    <w:rsid w:val="009A672C"/>
    <w:rsid w:val="009B21BD"/>
    <w:rsid w:val="009B3F51"/>
    <w:rsid w:val="009B45C3"/>
    <w:rsid w:val="009C1BA4"/>
    <w:rsid w:val="009C5982"/>
    <w:rsid w:val="009D1D30"/>
    <w:rsid w:val="009E06CA"/>
    <w:rsid w:val="009F353D"/>
    <w:rsid w:val="009F7185"/>
    <w:rsid w:val="00A005FE"/>
    <w:rsid w:val="00A0083A"/>
    <w:rsid w:val="00A06B3E"/>
    <w:rsid w:val="00A10E95"/>
    <w:rsid w:val="00A162D0"/>
    <w:rsid w:val="00A20E08"/>
    <w:rsid w:val="00A23EE0"/>
    <w:rsid w:val="00A32222"/>
    <w:rsid w:val="00A41719"/>
    <w:rsid w:val="00A42CF4"/>
    <w:rsid w:val="00A42E23"/>
    <w:rsid w:val="00A43824"/>
    <w:rsid w:val="00A47144"/>
    <w:rsid w:val="00A5597F"/>
    <w:rsid w:val="00A607FB"/>
    <w:rsid w:val="00A60DA0"/>
    <w:rsid w:val="00A64ED5"/>
    <w:rsid w:val="00A66803"/>
    <w:rsid w:val="00A67D5B"/>
    <w:rsid w:val="00A7120D"/>
    <w:rsid w:val="00A71F6D"/>
    <w:rsid w:val="00A81EF7"/>
    <w:rsid w:val="00A84301"/>
    <w:rsid w:val="00A92C56"/>
    <w:rsid w:val="00A92DE6"/>
    <w:rsid w:val="00AA0497"/>
    <w:rsid w:val="00AA1F78"/>
    <w:rsid w:val="00AA4DC7"/>
    <w:rsid w:val="00AB28E3"/>
    <w:rsid w:val="00AB60D6"/>
    <w:rsid w:val="00AB6344"/>
    <w:rsid w:val="00AB67D9"/>
    <w:rsid w:val="00AC057E"/>
    <w:rsid w:val="00AC1013"/>
    <w:rsid w:val="00AC40E8"/>
    <w:rsid w:val="00AC7CDF"/>
    <w:rsid w:val="00AD045F"/>
    <w:rsid w:val="00AD09C8"/>
    <w:rsid w:val="00AD1255"/>
    <w:rsid w:val="00AD139F"/>
    <w:rsid w:val="00AD325B"/>
    <w:rsid w:val="00AE5A8A"/>
    <w:rsid w:val="00AE60A6"/>
    <w:rsid w:val="00AF1CF7"/>
    <w:rsid w:val="00AF3F8D"/>
    <w:rsid w:val="00AF4234"/>
    <w:rsid w:val="00B107AC"/>
    <w:rsid w:val="00B12381"/>
    <w:rsid w:val="00B21D47"/>
    <w:rsid w:val="00B33AA6"/>
    <w:rsid w:val="00B37E39"/>
    <w:rsid w:val="00B446DA"/>
    <w:rsid w:val="00B44E29"/>
    <w:rsid w:val="00B469DA"/>
    <w:rsid w:val="00B47A1C"/>
    <w:rsid w:val="00B50BB2"/>
    <w:rsid w:val="00B533D6"/>
    <w:rsid w:val="00B567A0"/>
    <w:rsid w:val="00B63184"/>
    <w:rsid w:val="00B66C58"/>
    <w:rsid w:val="00B67FD9"/>
    <w:rsid w:val="00B84215"/>
    <w:rsid w:val="00B8475F"/>
    <w:rsid w:val="00B8507F"/>
    <w:rsid w:val="00B86AE2"/>
    <w:rsid w:val="00B90D0F"/>
    <w:rsid w:val="00B958A6"/>
    <w:rsid w:val="00BA2141"/>
    <w:rsid w:val="00BA2988"/>
    <w:rsid w:val="00BA3153"/>
    <w:rsid w:val="00BA6D70"/>
    <w:rsid w:val="00BA7636"/>
    <w:rsid w:val="00BB03C8"/>
    <w:rsid w:val="00BB0488"/>
    <w:rsid w:val="00BB1D4C"/>
    <w:rsid w:val="00BB5888"/>
    <w:rsid w:val="00BB5B1E"/>
    <w:rsid w:val="00BC1B62"/>
    <w:rsid w:val="00BD0B2A"/>
    <w:rsid w:val="00BD2528"/>
    <w:rsid w:val="00BD3360"/>
    <w:rsid w:val="00BD3CE3"/>
    <w:rsid w:val="00BE04CA"/>
    <w:rsid w:val="00BE1E18"/>
    <w:rsid w:val="00BF0D8A"/>
    <w:rsid w:val="00BF2453"/>
    <w:rsid w:val="00BF6967"/>
    <w:rsid w:val="00C04111"/>
    <w:rsid w:val="00C04542"/>
    <w:rsid w:val="00C1082C"/>
    <w:rsid w:val="00C169B1"/>
    <w:rsid w:val="00C20862"/>
    <w:rsid w:val="00C251FA"/>
    <w:rsid w:val="00C26733"/>
    <w:rsid w:val="00C365D4"/>
    <w:rsid w:val="00C40457"/>
    <w:rsid w:val="00C40652"/>
    <w:rsid w:val="00C40E9A"/>
    <w:rsid w:val="00C460E3"/>
    <w:rsid w:val="00C53809"/>
    <w:rsid w:val="00C55097"/>
    <w:rsid w:val="00C62382"/>
    <w:rsid w:val="00C64382"/>
    <w:rsid w:val="00C645A5"/>
    <w:rsid w:val="00C661BF"/>
    <w:rsid w:val="00C72D56"/>
    <w:rsid w:val="00C75C04"/>
    <w:rsid w:val="00C82EC5"/>
    <w:rsid w:val="00C83A0C"/>
    <w:rsid w:val="00C91285"/>
    <w:rsid w:val="00C93049"/>
    <w:rsid w:val="00CA1AC0"/>
    <w:rsid w:val="00CA2986"/>
    <w:rsid w:val="00CB4F80"/>
    <w:rsid w:val="00CD08A0"/>
    <w:rsid w:val="00CD58B7"/>
    <w:rsid w:val="00CD70B6"/>
    <w:rsid w:val="00CD749B"/>
    <w:rsid w:val="00CE1ADF"/>
    <w:rsid w:val="00CF1523"/>
    <w:rsid w:val="00CF305F"/>
    <w:rsid w:val="00D0008A"/>
    <w:rsid w:val="00D007F6"/>
    <w:rsid w:val="00D00E9E"/>
    <w:rsid w:val="00D0594F"/>
    <w:rsid w:val="00D060A1"/>
    <w:rsid w:val="00D0780C"/>
    <w:rsid w:val="00D07C5C"/>
    <w:rsid w:val="00D2113B"/>
    <w:rsid w:val="00D21747"/>
    <w:rsid w:val="00D2574A"/>
    <w:rsid w:val="00D306F1"/>
    <w:rsid w:val="00D314C2"/>
    <w:rsid w:val="00D3211F"/>
    <w:rsid w:val="00D414E4"/>
    <w:rsid w:val="00D42C38"/>
    <w:rsid w:val="00D50DB6"/>
    <w:rsid w:val="00D5384B"/>
    <w:rsid w:val="00D550D0"/>
    <w:rsid w:val="00D56CBB"/>
    <w:rsid w:val="00D616C1"/>
    <w:rsid w:val="00D6632D"/>
    <w:rsid w:val="00D702F9"/>
    <w:rsid w:val="00D71400"/>
    <w:rsid w:val="00D7301E"/>
    <w:rsid w:val="00D80ABD"/>
    <w:rsid w:val="00D81066"/>
    <w:rsid w:val="00D82DAD"/>
    <w:rsid w:val="00D86FE4"/>
    <w:rsid w:val="00D8768B"/>
    <w:rsid w:val="00D87D37"/>
    <w:rsid w:val="00D95910"/>
    <w:rsid w:val="00D95C61"/>
    <w:rsid w:val="00D964DB"/>
    <w:rsid w:val="00DA3D31"/>
    <w:rsid w:val="00DA4E34"/>
    <w:rsid w:val="00DB1DEC"/>
    <w:rsid w:val="00DB2AD8"/>
    <w:rsid w:val="00DB552B"/>
    <w:rsid w:val="00DC2719"/>
    <w:rsid w:val="00DC409A"/>
    <w:rsid w:val="00DE4348"/>
    <w:rsid w:val="00DE7AAF"/>
    <w:rsid w:val="00DF69F0"/>
    <w:rsid w:val="00DF7888"/>
    <w:rsid w:val="00E0057F"/>
    <w:rsid w:val="00E059BC"/>
    <w:rsid w:val="00E11BB1"/>
    <w:rsid w:val="00E12D14"/>
    <w:rsid w:val="00E13E97"/>
    <w:rsid w:val="00E160DC"/>
    <w:rsid w:val="00E2382F"/>
    <w:rsid w:val="00E3372A"/>
    <w:rsid w:val="00E33D9A"/>
    <w:rsid w:val="00E352CD"/>
    <w:rsid w:val="00E36491"/>
    <w:rsid w:val="00E4071E"/>
    <w:rsid w:val="00E473E9"/>
    <w:rsid w:val="00E51268"/>
    <w:rsid w:val="00E54D7F"/>
    <w:rsid w:val="00E5702B"/>
    <w:rsid w:val="00E57734"/>
    <w:rsid w:val="00E5784C"/>
    <w:rsid w:val="00E62516"/>
    <w:rsid w:val="00E661BC"/>
    <w:rsid w:val="00E746EC"/>
    <w:rsid w:val="00E74821"/>
    <w:rsid w:val="00E74DBB"/>
    <w:rsid w:val="00E77921"/>
    <w:rsid w:val="00E84691"/>
    <w:rsid w:val="00E90E53"/>
    <w:rsid w:val="00E92002"/>
    <w:rsid w:val="00E923CD"/>
    <w:rsid w:val="00E93494"/>
    <w:rsid w:val="00EB0190"/>
    <w:rsid w:val="00EB1986"/>
    <w:rsid w:val="00EB1A36"/>
    <w:rsid w:val="00EC0CAE"/>
    <w:rsid w:val="00EC5BB5"/>
    <w:rsid w:val="00ED3CB3"/>
    <w:rsid w:val="00ED3CC1"/>
    <w:rsid w:val="00ED53C8"/>
    <w:rsid w:val="00EE1FE1"/>
    <w:rsid w:val="00EE479D"/>
    <w:rsid w:val="00EE4DDB"/>
    <w:rsid w:val="00EF0693"/>
    <w:rsid w:val="00EF1FD3"/>
    <w:rsid w:val="00EF68D5"/>
    <w:rsid w:val="00EF7007"/>
    <w:rsid w:val="00EF7D31"/>
    <w:rsid w:val="00F023A8"/>
    <w:rsid w:val="00F0387C"/>
    <w:rsid w:val="00F05570"/>
    <w:rsid w:val="00F06D9A"/>
    <w:rsid w:val="00F11493"/>
    <w:rsid w:val="00F117C7"/>
    <w:rsid w:val="00F123DA"/>
    <w:rsid w:val="00F12843"/>
    <w:rsid w:val="00F13A84"/>
    <w:rsid w:val="00F14752"/>
    <w:rsid w:val="00F15257"/>
    <w:rsid w:val="00F16E8D"/>
    <w:rsid w:val="00F17649"/>
    <w:rsid w:val="00F17A4A"/>
    <w:rsid w:val="00F21109"/>
    <w:rsid w:val="00F22FAC"/>
    <w:rsid w:val="00F255B0"/>
    <w:rsid w:val="00F27E53"/>
    <w:rsid w:val="00F32B21"/>
    <w:rsid w:val="00F34816"/>
    <w:rsid w:val="00F3615C"/>
    <w:rsid w:val="00F4441F"/>
    <w:rsid w:val="00F453BD"/>
    <w:rsid w:val="00F50FD3"/>
    <w:rsid w:val="00F61CC3"/>
    <w:rsid w:val="00F70EBF"/>
    <w:rsid w:val="00F718A5"/>
    <w:rsid w:val="00F73E68"/>
    <w:rsid w:val="00F772B8"/>
    <w:rsid w:val="00F80BEB"/>
    <w:rsid w:val="00F81B3A"/>
    <w:rsid w:val="00F8312A"/>
    <w:rsid w:val="00F833D7"/>
    <w:rsid w:val="00F90E7C"/>
    <w:rsid w:val="00F92371"/>
    <w:rsid w:val="00F94CF5"/>
    <w:rsid w:val="00F96D34"/>
    <w:rsid w:val="00F97C31"/>
    <w:rsid w:val="00FA3259"/>
    <w:rsid w:val="00FB0047"/>
    <w:rsid w:val="00FB27C8"/>
    <w:rsid w:val="00FB3C07"/>
    <w:rsid w:val="00FB765D"/>
    <w:rsid w:val="00FC1302"/>
    <w:rsid w:val="00FE078A"/>
    <w:rsid w:val="00FE07C1"/>
    <w:rsid w:val="00FE33F3"/>
    <w:rsid w:val="00FE5A76"/>
    <w:rsid w:val="00FE5F36"/>
    <w:rsid w:val="00FF3388"/>
    <w:rsid w:val="2F1F73A6"/>
    <w:rsid w:val="381B5073"/>
    <w:rsid w:val="3B1579C6"/>
    <w:rsid w:val="6DB67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35"/>
    <w:rPr>
      <w:rFonts w:eastAsia="黑体" w:asciiTheme="majorHAnsi" w:hAnsiTheme="majorHAnsi" w:cstheme="majorBidi"/>
      <w:sz w:val="20"/>
      <w:szCs w:val="20"/>
    </w:rPr>
  </w:style>
  <w:style w:type="paragraph" w:styleId="3">
    <w:name w:val="Balloon Text"/>
    <w:basedOn w:val="1"/>
    <w:link w:val="11"/>
    <w:unhideWhenUsed/>
    <w:qFormat/>
    <w:uiPriority w:val="99"/>
    <w:rPr>
      <w:sz w:val="18"/>
      <w:szCs w:val="18"/>
    </w:rPr>
  </w:style>
  <w:style w:type="paragraph" w:styleId="4">
    <w:name w:val="footer"/>
    <w:basedOn w:val="1"/>
    <w:link w:val="14"/>
    <w:unhideWhenUsed/>
    <w:uiPriority w:val="99"/>
    <w:pPr>
      <w:tabs>
        <w:tab w:val="center" w:pos="4153"/>
        <w:tab w:val="right" w:pos="8306"/>
      </w:tabs>
      <w:snapToGrid w:val="0"/>
      <w:jc w:val="left"/>
    </w:pPr>
    <w:rPr>
      <w:sz w:val="18"/>
      <w:szCs w:val="18"/>
    </w:rPr>
  </w:style>
  <w:style w:type="paragraph" w:styleId="5">
    <w:name w:val="header"/>
    <w:basedOn w:val="1"/>
    <w:link w:val="13"/>
    <w:semiHidden/>
    <w:unhideWhenUsed/>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bCs/>
    </w:rPr>
  </w:style>
  <w:style w:type="character" w:styleId="9">
    <w:name w:val="Hyperlink"/>
    <w:basedOn w:val="7"/>
    <w:unhideWhenUsed/>
    <w:qFormat/>
    <w:uiPriority w:val="99"/>
    <w:rPr>
      <w:color w:val="0000FF" w:themeColor="hyperlink"/>
      <w:u w:val="single"/>
    </w:rPr>
  </w:style>
  <w:style w:type="paragraph" w:styleId="10">
    <w:name w:val="List Paragraph"/>
    <w:basedOn w:val="1"/>
    <w:qFormat/>
    <w:uiPriority w:val="34"/>
    <w:pPr>
      <w:ind w:firstLine="420" w:firstLineChars="200"/>
    </w:pPr>
  </w:style>
  <w:style w:type="character" w:customStyle="1" w:styleId="11">
    <w:name w:val="批注框文本 Char"/>
    <w:basedOn w:val="7"/>
    <w:link w:val="3"/>
    <w:semiHidden/>
    <w:uiPriority w:val="99"/>
    <w:rPr>
      <w:sz w:val="18"/>
      <w:szCs w:val="18"/>
    </w:rPr>
  </w:style>
  <w:style w:type="paragraph" w:customStyle="1" w:styleId="12">
    <w:name w:val="p0"/>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页眉 Char"/>
    <w:basedOn w:val="7"/>
    <w:link w:val="5"/>
    <w:semiHidden/>
    <w:uiPriority w:val="99"/>
    <w:rPr>
      <w:kern w:val="2"/>
      <w:sz w:val="18"/>
      <w:szCs w:val="18"/>
    </w:rPr>
  </w:style>
  <w:style w:type="character" w:customStyle="1" w:styleId="14">
    <w:name w:val="页脚 Char"/>
    <w:basedOn w:val="7"/>
    <w:link w:val="4"/>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chart" Target="charts/chart10.xml"/><Relationship Id="rId14" Type="http://schemas.openxmlformats.org/officeDocument/2006/relationships/chart" Target="charts/chart9.xml"/><Relationship Id="rId13" Type="http://schemas.openxmlformats.org/officeDocument/2006/relationships/chart" Target="charts/chart8.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32479;&#35745;&#25253;&#34920;\2019\9&#26376;\2019-9&#20840;&#30465;&#36807;&#2440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32479;&#35745;&#25253;&#34920;\2019\9&#26376;\2019-9&#20840;&#30465;&#36807;&#2440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32479;&#35745;&#25253;&#34920;\2019\9&#26376;\2019-9&#20840;&#30465;&#36807;&#2440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32479;&#35745;&#25253;&#34920;\2019\9&#26376;\2019-9&#20840;&#30465;&#36807;&#2440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32479;&#35745;&#25253;&#34920;\2019\9&#26376;\2019-9&#20840;&#30465;&#36807;&#2440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32479;&#35745;&#25253;&#34920;\2019\9&#26376;\2019-9&#20840;&#30465;&#36807;&#2440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32479;&#35745;&#25253;&#34920;\2019\9&#26376;\2019-9&#20840;&#30465;&#36807;&#24405;&#34920;.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32479;&#35745;&#25253;&#34920;\2019\9&#26376;\2019-3&#21360;&#21047;&#29256;\2019-9&#20840;&#30465;&#36807;&#24405;&#34920;.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32479;&#35745;&#25253;&#34920;\2019\9&#26376;\2019-3&#21360;&#21047;&#29256;\2019-9&#20840;&#30465;&#36807;&#24405;&#34920;.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32479;&#35745;&#25253;&#34920;\2019\9&#26376;\2019-3&#21360;&#21047;&#29256;\2019-9&#20840;&#30465;&#36807;&#2440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18495188101485"/>
          <c:y val="0.0514005540974045"/>
          <c:w val="0.743505555555556"/>
          <c:h val="0.704166671278102"/>
        </c:manualLayout>
      </c:layout>
      <c:barChart>
        <c:barDir val="col"/>
        <c:grouping val="clustered"/>
        <c:varyColors val="0"/>
        <c:ser>
          <c:idx val="0"/>
          <c:order val="0"/>
          <c:tx>
            <c:strRef>
              <c:f>分析图表!$A$14</c:f>
              <c:strCache>
                <c:ptCount val="1"/>
                <c:pt idx="0">
                  <c:v>完成百分比</c:v>
                </c:pt>
              </c:strCache>
            </c:strRef>
          </c:tx>
          <c:invertIfNegative val="0"/>
          <c:dLbls>
            <c:dLbl>
              <c:idx val="0"/>
              <c:layout>
                <c:manualLayout>
                  <c:x val="0.00251098556183302"/>
                  <c:y val="-0.02777777777777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851851851851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2777777777777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分析图表!$B$13:$D$13</c:f>
              <c:strCache>
                <c:ptCount val="3"/>
                <c:pt idx="0">
                  <c:v>城镇新增
就业人数</c:v>
                </c:pt>
                <c:pt idx="1">
                  <c:v>城镇失业人员
再就业人数</c:v>
                </c:pt>
                <c:pt idx="2">
                  <c:v>就业困难人
员就业人数</c:v>
                </c:pt>
              </c:strCache>
            </c:strRef>
          </c:cat>
          <c:val>
            <c:numRef>
              <c:f>分析图表!$B$14:$D$14</c:f>
              <c:numCache>
                <c:formatCode>0.00%</c:formatCode>
                <c:ptCount val="3"/>
                <c:pt idx="0">
                  <c:v>1.00801142857143</c:v>
                </c:pt>
                <c:pt idx="1">
                  <c:v>1.159315</c:v>
                </c:pt>
                <c:pt idx="2">
                  <c:v>1.2298</c:v>
                </c:pt>
              </c:numCache>
            </c:numRef>
          </c:val>
        </c:ser>
        <c:dLbls>
          <c:showLegendKey val="0"/>
          <c:showVal val="1"/>
          <c:showCatName val="0"/>
          <c:showSerName val="0"/>
          <c:showPercent val="0"/>
          <c:showBubbleSize val="0"/>
        </c:dLbls>
        <c:gapWidth val="150"/>
        <c:axId val="262472832"/>
        <c:axId val="262474368"/>
      </c:barChart>
      <c:catAx>
        <c:axId val="262472832"/>
        <c:scaling>
          <c:orientation val="minMax"/>
        </c:scaling>
        <c:delete val="0"/>
        <c:axPos val="b"/>
        <c:numFmt formatCode="General" sourceLinked="1"/>
        <c:majorTickMark val="out"/>
        <c:minorTickMark val="none"/>
        <c:tickLblPos val="nextTo"/>
        <c:txPr>
          <a:bodyPr rot="0" spcFirstLastPara="0" vertOverflow="ellipsis" vert="horz" wrap="square"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262474368"/>
        <c:crosses val="autoZero"/>
        <c:auto val="1"/>
        <c:lblAlgn val="ctr"/>
        <c:lblOffset val="100"/>
        <c:noMultiLvlLbl val="0"/>
      </c:catAx>
      <c:valAx>
        <c:axId val="262474368"/>
        <c:scaling>
          <c:orientation val="minMax"/>
        </c:scaling>
        <c:delete val="0"/>
        <c:axPos val="l"/>
        <c:majorGridlines/>
        <c:numFmt formatCode="0.00%" sourceLinked="1"/>
        <c:majorTickMark val="out"/>
        <c:minorTickMark val="none"/>
        <c:tickLblPos val="nextTo"/>
        <c:txPr>
          <a:bodyPr rot="0" spcFirstLastPara="0" vertOverflow="ellipsis" vert="horz" wrap="square"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262472832"/>
        <c:crosses val="autoZero"/>
        <c:crossBetween val="between"/>
        <c:majorUnit val="0.4"/>
      </c:valAx>
      <c:spPr>
        <a:solidFill>
          <a:srgbClr val="FFFFFF"/>
        </a:solidFill>
        <a:ln w="25400">
          <a:noFill/>
        </a:ln>
      </c:spPr>
    </c:plotArea>
    <c:legend>
      <c:legendPos val="r"/>
      <c:layout>
        <c:manualLayout>
          <c:xMode val="edge"/>
          <c:yMode val="edge"/>
          <c:x val="0.875200063268928"/>
          <c:y val="0.219270392503869"/>
          <c:w val="0.100076812432344"/>
          <c:h val="0.53012593295545"/>
        </c:manualLayout>
      </c:layout>
      <c:overlay val="0"/>
      <c:txPr>
        <a:bodyPr rot="0" spcFirstLastPara="0" vertOverflow="ellipsis" vert="horz" wrap="square"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txPr>
    <a:bodyPr/>
    <a:lstStyle/>
    <a:p>
      <a:pPr>
        <a:defRPr lang="zh-CN" sz="10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530183727034"/>
          <c:y val="0.204918981481482"/>
          <c:w val="0.841957349081364"/>
          <c:h val="0.664959722222223"/>
        </c:manualLayout>
      </c:layout>
      <c:barChart>
        <c:barDir val="col"/>
        <c:grouping val="clustered"/>
        <c:varyColors val="0"/>
        <c:ser>
          <c:idx val="0"/>
          <c:order val="0"/>
          <c:tx>
            <c:strRef>
              <c:f>分析图表!$B$17</c:f>
              <c:strCache>
                <c:ptCount val="1"/>
                <c:pt idx="0">
                  <c:v>城镇累计新就业人数</c:v>
                </c:pt>
              </c:strCache>
            </c:strRef>
          </c:tx>
          <c:spPr>
            <a:solidFill>
              <a:srgbClr val="4F81BD">
                <a:alpha val="60000"/>
              </a:srgbClr>
            </a:solidFill>
          </c:spPr>
          <c:invertIfNegative val="0"/>
          <c:dLbls>
            <c:spPr>
              <a:noFill/>
              <a:ln>
                <a:noFill/>
              </a:ln>
              <a:effectLst/>
            </c:spPr>
            <c:txPr>
              <a:bodyPr rot="0" spcFirstLastPara="0" vertOverflow="ellipsis" vert="eaVert"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分析图表!$A$18:$A$22</c:f>
              <c:strCache>
                <c:ptCount val="5"/>
                <c:pt idx="0">
                  <c:v>2015年9月</c:v>
                </c:pt>
                <c:pt idx="1">
                  <c:v>2016年9月</c:v>
                </c:pt>
                <c:pt idx="2">
                  <c:v>2017年9月</c:v>
                </c:pt>
                <c:pt idx="3">
                  <c:v>2018年9月</c:v>
                </c:pt>
                <c:pt idx="4">
                  <c:v>2019年9月</c:v>
                </c:pt>
              </c:strCache>
            </c:strRef>
          </c:cat>
          <c:val>
            <c:numRef>
              <c:f>分析图表!$B$18:$B$22</c:f>
              <c:numCache>
                <c:formatCode>0.00_ </c:formatCode>
                <c:ptCount val="5"/>
                <c:pt idx="0">
                  <c:v>75.186</c:v>
                </c:pt>
                <c:pt idx="1">
                  <c:v>78.0432</c:v>
                </c:pt>
                <c:pt idx="2">
                  <c:v>85.6104</c:v>
                </c:pt>
                <c:pt idx="3">
                  <c:v>86.3709</c:v>
                </c:pt>
                <c:pt idx="4">
                  <c:v>93.1647</c:v>
                </c:pt>
              </c:numCache>
            </c:numRef>
          </c:val>
        </c:ser>
        <c:ser>
          <c:idx val="1"/>
          <c:order val="1"/>
          <c:tx>
            <c:strRef>
              <c:f>分析图表!$C$17</c:f>
              <c:strCache>
                <c:ptCount val="1"/>
                <c:pt idx="0">
                  <c:v>城镇新增就业人数</c:v>
                </c:pt>
              </c:strCache>
            </c:strRef>
          </c:tx>
          <c:spPr>
            <a:solidFill>
              <a:srgbClr val="FF0000">
                <a:alpha val="70000"/>
              </a:srgbClr>
            </a:solidFill>
          </c:spPr>
          <c:invertIfNegative val="0"/>
          <c:dLbls>
            <c:spPr>
              <a:noFill/>
              <a:ln>
                <a:noFill/>
              </a:ln>
              <a:effectLst/>
            </c:spPr>
            <c:txPr>
              <a:bodyPr rot="0" spcFirstLastPara="0" vertOverflow="ellipsis" vert="eaVert"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分析图表!$A$18:$A$22</c:f>
              <c:strCache>
                <c:ptCount val="5"/>
                <c:pt idx="0">
                  <c:v>2015年9月</c:v>
                </c:pt>
                <c:pt idx="1">
                  <c:v>2016年9月</c:v>
                </c:pt>
                <c:pt idx="2">
                  <c:v>2017年9月</c:v>
                </c:pt>
                <c:pt idx="3">
                  <c:v>2018年9月</c:v>
                </c:pt>
                <c:pt idx="4">
                  <c:v>2019年9月</c:v>
                </c:pt>
              </c:strCache>
            </c:strRef>
          </c:cat>
          <c:val>
            <c:numRef>
              <c:f>分析图表!$C$18:$C$22</c:f>
              <c:numCache>
                <c:formatCode>0.00_ </c:formatCode>
                <c:ptCount val="5"/>
                <c:pt idx="0">
                  <c:v>65.3228</c:v>
                </c:pt>
                <c:pt idx="1">
                  <c:v>69.3953</c:v>
                </c:pt>
                <c:pt idx="2">
                  <c:v>70.2789</c:v>
                </c:pt>
                <c:pt idx="3">
                  <c:v>68.1828</c:v>
                </c:pt>
                <c:pt idx="4">
                  <c:v>70.5608</c:v>
                </c:pt>
              </c:numCache>
            </c:numRef>
          </c:val>
        </c:ser>
        <c:ser>
          <c:idx val="2"/>
          <c:order val="2"/>
          <c:tx>
            <c:strRef>
              <c:f>分析图表!$D$17</c:f>
              <c:strCache>
                <c:ptCount val="1"/>
                <c:pt idx="0">
                  <c:v>新增就业人数年度目标数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分析图表!$A$18:$A$22</c:f>
              <c:strCache>
                <c:ptCount val="5"/>
                <c:pt idx="0">
                  <c:v>2015年9月</c:v>
                </c:pt>
                <c:pt idx="1">
                  <c:v>2016年9月</c:v>
                </c:pt>
                <c:pt idx="2">
                  <c:v>2017年9月</c:v>
                </c:pt>
                <c:pt idx="3">
                  <c:v>2018年9月</c:v>
                </c:pt>
                <c:pt idx="4">
                  <c:v>2019年9月</c:v>
                </c:pt>
              </c:strCache>
            </c:strRef>
          </c:cat>
          <c:val>
            <c:numRef>
              <c:f>分析图表!$D$18:$D$22</c:f>
              <c:numCache>
                <c:formatCode>General</c:formatCode>
                <c:ptCount val="5"/>
                <c:pt idx="0">
                  <c:v>70</c:v>
                </c:pt>
                <c:pt idx="1">
                  <c:v>70</c:v>
                </c:pt>
                <c:pt idx="2">
                  <c:v>70</c:v>
                </c:pt>
                <c:pt idx="3">
                  <c:v>70</c:v>
                </c:pt>
                <c:pt idx="4">
                  <c:v>70</c:v>
                </c:pt>
              </c:numCache>
            </c:numRef>
          </c:val>
        </c:ser>
        <c:dLbls>
          <c:showLegendKey val="0"/>
          <c:showVal val="1"/>
          <c:showCatName val="0"/>
          <c:showSerName val="0"/>
          <c:showPercent val="0"/>
          <c:showBubbleSize val="0"/>
        </c:dLbls>
        <c:gapWidth val="150"/>
        <c:axId val="262603520"/>
        <c:axId val="262605056"/>
      </c:barChart>
      <c:catAx>
        <c:axId val="262603520"/>
        <c:scaling>
          <c:orientation val="minMax"/>
        </c:scaling>
        <c:delete val="0"/>
        <c:axPos val="b"/>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262605056"/>
        <c:crosses val="autoZero"/>
        <c:auto val="1"/>
        <c:lblAlgn val="ctr"/>
        <c:lblOffset val="100"/>
        <c:noMultiLvlLbl val="0"/>
      </c:catAx>
      <c:valAx>
        <c:axId val="262605056"/>
        <c:scaling>
          <c:orientation val="minMax"/>
        </c:scaling>
        <c:delete val="0"/>
        <c:axPos val="l"/>
        <c:majorGridlines/>
        <c:numFmt formatCode="0.00_ " sourceLinked="1"/>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262603520"/>
        <c:crosses val="autoZero"/>
        <c:crossBetween val="between"/>
        <c:majorUnit val="20"/>
      </c:valAx>
    </c:plotArea>
    <c:legend>
      <c:legendPos val="r"/>
      <c:layout>
        <c:manualLayout>
          <c:xMode val="edge"/>
          <c:yMode val="edge"/>
          <c:x val="0.0970138888888889"/>
          <c:y val="0.0266262029746282"/>
          <c:w val="0.898727777777778"/>
          <c:h val="0.176914444444445"/>
        </c:manualLayout>
      </c:layout>
      <c:overlay val="0"/>
      <c:txPr>
        <a:bodyPr rot="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分析图表!$R$103</c:f>
              <c:strCache>
                <c:ptCount val="1"/>
                <c:pt idx="0">
                  <c:v>2019年9月</c:v>
                </c:pt>
              </c:strCache>
            </c:strRef>
          </c:tx>
          <c:explosion val="0"/>
          <c:dPt>
            <c:idx val="0"/>
            <c:bubble3D val="0"/>
          </c:dPt>
          <c:dPt>
            <c:idx val="1"/>
            <c:bubble3D val="0"/>
          </c:dPt>
          <c:dPt>
            <c:idx val="2"/>
            <c:bubble3D val="0"/>
          </c:dPt>
          <c:dLbls>
            <c:dLbl>
              <c:idx val="0"/>
              <c:layout>
                <c:manualLayout>
                  <c:x val="0.0755966580487724"/>
                  <c:y val="0.049935700015659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manualLayout>
                  <c:x val="0.13477490680538"/>
                  <c:y val="-0.11556507043170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0.0861689790450675"/>
                  <c:y val="0.088764613677617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分析图表!$S$102:$U$102</c:f>
              <c:strCache>
                <c:ptCount val="3"/>
                <c:pt idx="0">
                  <c:v>第一产业</c:v>
                </c:pt>
                <c:pt idx="1">
                  <c:v>第二产业</c:v>
                </c:pt>
                <c:pt idx="2">
                  <c:v>第三产业</c:v>
                </c:pt>
              </c:strCache>
            </c:strRef>
          </c:cat>
          <c:val>
            <c:numRef>
              <c:f>分析图表!$S$103:$U$103</c:f>
              <c:numCache>
                <c:formatCode>General</c:formatCode>
                <c:ptCount val="3"/>
                <c:pt idx="0">
                  <c:v>85435</c:v>
                </c:pt>
                <c:pt idx="1">
                  <c:v>337009</c:v>
                </c:pt>
                <c:pt idx="2">
                  <c:v>568389</c:v>
                </c:pt>
              </c:numCache>
            </c:numRef>
          </c:val>
        </c:ser>
        <c:dLbls>
          <c:showLegendKey val="0"/>
          <c:showVal val="0"/>
          <c:showCatName val="1"/>
          <c:showSerName val="0"/>
          <c:showPercent val="1"/>
          <c:showBubbleSize val="0"/>
          <c:showLeaderLines val="1"/>
        </c:dLbls>
        <c:firstSliceAng val="45"/>
      </c:pieChart>
    </c:plotArea>
    <c:plotVisOnly val="1"/>
    <c:dispBlanksAs val="gap"/>
    <c:showDLblsOverMax val="0"/>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25"/>
          <c:dPt>
            <c:idx val="0"/>
            <c:bubble3D val="0"/>
          </c:dPt>
          <c:dPt>
            <c:idx val="1"/>
            <c:bubble3D val="0"/>
          </c:dPt>
          <c:dPt>
            <c:idx val="2"/>
            <c:bubble3D val="0"/>
          </c:dPt>
          <c:dPt>
            <c:idx val="3"/>
            <c:bubble3D val="0"/>
          </c:dPt>
          <c:dPt>
            <c:idx val="4"/>
            <c:bubble3D val="0"/>
          </c:dPt>
          <c:dLbls>
            <c:dLbl>
              <c:idx val="0"/>
              <c:layout>
                <c:manualLayout>
                  <c:x val="0.107682414698163"/>
                  <c:y val="-0.000143510641824028"/>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manualLayout>
                  <c:x val="0.0472749343832021"/>
                  <c:y val="-0.0122519478655706"/>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0.0894280402449697"/>
                  <c:y val="-0.0360499460742373"/>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3"/>
              <c:layout>
                <c:manualLayout>
                  <c:x val="-0.151138024609133"/>
                  <c:y val="-0.000790243008781686"/>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4"/>
              <c:layout>
                <c:manualLayout>
                  <c:x val="-0.200589802626869"/>
                  <c:y val="0.0886811014962866"/>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分析图表!$X$101:$AB$101</c:f>
              <c:strCache>
                <c:ptCount val="5"/>
                <c:pt idx="0">
                  <c:v>机关事业单位</c:v>
                </c:pt>
                <c:pt idx="1">
                  <c:v>国有及国有控股、参股企业</c:v>
                </c:pt>
                <c:pt idx="2">
                  <c:v>外商及洪澳台投资企业</c:v>
                </c:pt>
                <c:pt idx="3">
                  <c:v>私营企业及个体经济</c:v>
                </c:pt>
                <c:pt idx="4">
                  <c:v>灵活就业</c:v>
                </c:pt>
              </c:strCache>
            </c:strRef>
          </c:cat>
          <c:val>
            <c:numRef>
              <c:f>分析图表!$X$102:$AB$102</c:f>
              <c:numCache>
                <c:formatCode>General</c:formatCode>
                <c:ptCount val="5"/>
                <c:pt idx="0">
                  <c:v>28644</c:v>
                </c:pt>
                <c:pt idx="1">
                  <c:v>171711</c:v>
                </c:pt>
                <c:pt idx="2">
                  <c:v>51059</c:v>
                </c:pt>
                <c:pt idx="3">
                  <c:v>390016</c:v>
                </c:pt>
                <c:pt idx="4">
                  <c:v>349403</c:v>
                </c:pt>
              </c:numCache>
            </c:numRef>
          </c:val>
        </c:ser>
        <c:dLbls>
          <c:showLegendKey val="0"/>
          <c:showVal val="0"/>
          <c:showCatName val="1"/>
          <c:showSerName val="0"/>
          <c:showPercent val="1"/>
          <c:showBubbleSize val="0"/>
          <c:showLeaderLines val="1"/>
        </c:dLbls>
        <c:firstSliceAng val="45"/>
      </c:pieChart>
    </c:plotArea>
    <c:plotVisOnly val="1"/>
    <c:dispBlanksAs val="gap"/>
    <c:showDLblsOverMax val="0"/>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252405949257"/>
          <c:y val="0.242723857844953"/>
          <c:w val="0.845414260717409"/>
          <c:h val="0.63771357083339"/>
        </c:manualLayout>
      </c:layout>
      <c:lineChart>
        <c:grouping val="standard"/>
        <c:varyColors val="0"/>
        <c:ser>
          <c:idx val="0"/>
          <c:order val="0"/>
          <c:tx>
            <c:strRef>
              <c:f>分析图表!$B$114</c:f>
              <c:strCache>
                <c:ptCount val="1"/>
                <c:pt idx="0">
                  <c:v>省外转移人数</c:v>
                </c:pt>
              </c:strCache>
            </c:strRef>
          </c:tx>
          <c:dLbls>
            <c:dLbl>
              <c:idx val="0"/>
              <c:layout>
                <c:manualLayout>
                  <c:x val="-0.0444444444444445"/>
                  <c:y val="0.06938775956212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5"/>
                  <c:y val="0.074013610199600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16666666666667"/>
                  <c:y val="0.064761908924650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583333333333334"/>
                  <c:y val="0.06938775956212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527777777777779"/>
                  <c:y val="0.06938775956212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分析图表!$A$115:$A$119</c:f>
              <c:strCache>
                <c:ptCount val="5"/>
                <c:pt idx="0">
                  <c:v>2015年</c:v>
                </c:pt>
                <c:pt idx="1">
                  <c:v>2016年</c:v>
                </c:pt>
                <c:pt idx="2">
                  <c:v>2017年</c:v>
                </c:pt>
                <c:pt idx="3">
                  <c:v>2018年</c:v>
                </c:pt>
                <c:pt idx="4">
                  <c:v>2019年</c:v>
                </c:pt>
              </c:strCache>
            </c:strRef>
          </c:cat>
          <c:val>
            <c:numRef>
              <c:f>分析图表!$B$115:$B$119</c:f>
              <c:numCache>
                <c:formatCode>0.00;_䀀</c:formatCode>
                <c:ptCount val="5"/>
                <c:pt idx="0">
                  <c:v>627.2099</c:v>
                </c:pt>
                <c:pt idx="1">
                  <c:v>612.7869</c:v>
                </c:pt>
                <c:pt idx="2">
                  <c:v>567.317199999999</c:v>
                </c:pt>
                <c:pt idx="3">
                  <c:v>581.5334</c:v>
                </c:pt>
                <c:pt idx="4">
                  <c:v>576.951899999999</c:v>
                </c:pt>
              </c:numCache>
            </c:numRef>
          </c:val>
          <c:smooth val="0"/>
        </c:ser>
        <c:ser>
          <c:idx val="1"/>
          <c:order val="1"/>
          <c:tx>
            <c:strRef>
              <c:f>分析图表!$C$114</c:f>
              <c:strCache>
                <c:ptCount val="1"/>
                <c:pt idx="0">
                  <c:v>省内县外转移人数</c:v>
                </c:pt>
              </c:strCache>
            </c:strRef>
          </c:tx>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分析图表!$A$115:$A$119</c:f>
              <c:strCache>
                <c:ptCount val="5"/>
                <c:pt idx="0">
                  <c:v>2015年</c:v>
                </c:pt>
                <c:pt idx="1">
                  <c:v>2016年</c:v>
                </c:pt>
                <c:pt idx="2">
                  <c:v>2017年</c:v>
                </c:pt>
                <c:pt idx="3">
                  <c:v>2018年</c:v>
                </c:pt>
                <c:pt idx="4">
                  <c:v>2019年</c:v>
                </c:pt>
              </c:strCache>
            </c:strRef>
          </c:cat>
          <c:val>
            <c:numRef>
              <c:f>分析图表!$C$115:$C$119</c:f>
              <c:numCache>
                <c:formatCode>0.00_ </c:formatCode>
                <c:ptCount val="5"/>
                <c:pt idx="0">
                  <c:v>251.7956</c:v>
                </c:pt>
                <c:pt idx="1">
                  <c:v>262.716099999999</c:v>
                </c:pt>
                <c:pt idx="2">
                  <c:v>252.4416</c:v>
                </c:pt>
                <c:pt idx="3">
                  <c:v>243.0746</c:v>
                </c:pt>
                <c:pt idx="4">
                  <c:v>247.9222</c:v>
                </c:pt>
              </c:numCache>
            </c:numRef>
          </c:val>
          <c:smooth val="0"/>
        </c:ser>
        <c:ser>
          <c:idx val="2"/>
          <c:order val="2"/>
          <c:tx>
            <c:strRef>
              <c:f>分析图表!$D$114</c:f>
              <c:strCache>
                <c:ptCount val="1"/>
                <c:pt idx="0">
                  <c:v>省内县内转移人数</c:v>
                </c:pt>
              </c:strCache>
            </c:strRef>
          </c:tx>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分析图表!$A$115:$A$119</c:f>
              <c:strCache>
                <c:ptCount val="5"/>
                <c:pt idx="0">
                  <c:v>2015年</c:v>
                </c:pt>
                <c:pt idx="1">
                  <c:v>2016年</c:v>
                </c:pt>
                <c:pt idx="2">
                  <c:v>2017年</c:v>
                </c:pt>
                <c:pt idx="3">
                  <c:v>2018年</c:v>
                </c:pt>
                <c:pt idx="4">
                  <c:v>2019年</c:v>
                </c:pt>
              </c:strCache>
            </c:strRef>
          </c:cat>
          <c:val>
            <c:numRef>
              <c:f>分析图表!$D$115:$D$119</c:f>
              <c:numCache>
                <c:formatCode>0.00_ </c:formatCode>
                <c:ptCount val="5"/>
                <c:pt idx="0">
                  <c:v>225.9906</c:v>
                </c:pt>
                <c:pt idx="1">
                  <c:v>244.5217</c:v>
                </c:pt>
                <c:pt idx="2">
                  <c:v>239.7908</c:v>
                </c:pt>
                <c:pt idx="3">
                  <c:v>228.1209</c:v>
                </c:pt>
                <c:pt idx="4">
                  <c:v>224.5456</c:v>
                </c:pt>
              </c:numCache>
            </c:numRef>
          </c:val>
          <c:smooth val="0"/>
        </c:ser>
        <c:dLbls>
          <c:showLegendKey val="0"/>
          <c:showVal val="1"/>
          <c:showCatName val="0"/>
          <c:showSerName val="0"/>
          <c:showPercent val="0"/>
          <c:showBubbleSize val="0"/>
        </c:dLbls>
        <c:marker val="1"/>
        <c:smooth val="0"/>
        <c:axId val="262812416"/>
        <c:axId val="262813952"/>
      </c:lineChart>
      <c:catAx>
        <c:axId val="262812416"/>
        <c:scaling>
          <c:orientation val="minMax"/>
        </c:scaling>
        <c:delete val="0"/>
        <c:axPos val="b"/>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262813952"/>
        <c:crosses val="autoZero"/>
        <c:auto val="1"/>
        <c:lblAlgn val="ctr"/>
        <c:lblOffset val="100"/>
        <c:noMultiLvlLbl val="0"/>
      </c:catAx>
      <c:valAx>
        <c:axId val="262813952"/>
        <c:scaling>
          <c:orientation val="minMax"/>
        </c:scaling>
        <c:delete val="0"/>
        <c:axPos val="l"/>
        <c:majorGridlines/>
        <c:numFmt formatCode="0.00;_䀀" sourceLinked="1"/>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262812416"/>
        <c:crosses val="autoZero"/>
        <c:crossBetween val="between"/>
      </c:valAx>
    </c:plotArea>
    <c:legend>
      <c:legendPos val="r"/>
      <c:layout>
        <c:manualLayout>
          <c:xMode val="edge"/>
          <c:yMode val="edge"/>
          <c:x val="0.0166666666666667"/>
          <c:y val="0.0137103656571021"/>
          <c:w val="0.966666666666667"/>
          <c:h val="0.192515729598818"/>
        </c:manualLayout>
      </c:layout>
      <c:overlay val="0"/>
      <c:txPr>
        <a:bodyPr rot="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030183727034"/>
          <c:y val="0.148501461149593"/>
          <c:w val="0.836858705161855"/>
          <c:h val="0.731935962200609"/>
        </c:manualLayout>
      </c:layout>
      <c:lineChart>
        <c:grouping val="standard"/>
        <c:varyColors val="0"/>
        <c:ser>
          <c:idx val="0"/>
          <c:order val="0"/>
          <c:tx>
            <c:strRef>
              <c:f>分析图表!$B$133</c:f>
              <c:strCache>
                <c:ptCount val="1"/>
                <c:pt idx="0">
                  <c:v>女性</c:v>
                </c:pt>
              </c:strCache>
            </c:strRef>
          </c:tx>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分析图表!$A$134:$A$138</c:f>
              <c:strCache>
                <c:ptCount val="5"/>
                <c:pt idx="0">
                  <c:v>2015年</c:v>
                </c:pt>
                <c:pt idx="1">
                  <c:v>2016年</c:v>
                </c:pt>
                <c:pt idx="2">
                  <c:v>2017年</c:v>
                </c:pt>
                <c:pt idx="3">
                  <c:v>2018年</c:v>
                </c:pt>
                <c:pt idx="4">
                  <c:v>2019年</c:v>
                </c:pt>
              </c:strCache>
            </c:strRef>
          </c:cat>
          <c:val>
            <c:numRef>
              <c:f>分析图表!$B$134:$B$138</c:f>
              <c:numCache>
                <c:formatCode>0.00%</c:formatCode>
                <c:ptCount val="5"/>
                <c:pt idx="0">
                  <c:v>0.447703226502477</c:v>
                </c:pt>
                <c:pt idx="1">
                  <c:v>0.448028371189733</c:v>
                </c:pt>
                <c:pt idx="2">
                  <c:v>0.458941750280808</c:v>
                </c:pt>
                <c:pt idx="3">
                  <c:v>0.463018456718654</c:v>
                </c:pt>
                <c:pt idx="4">
                  <c:v>0.505651630559998</c:v>
                </c:pt>
              </c:numCache>
            </c:numRef>
          </c:val>
          <c:smooth val="0"/>
        </c:ser>
        <c:ser>
          <c:idx val="1"/>
          <c:order val="1"/>
          <c:tx>
            <c:strRef>
              <c:f>分析图表!$C$133</c:f>
              <c:strCache>
                <c:ptCount val="1"/>
                <c:pt idx="0">
                  <c:v>高校毕业生</c:v>
                </c:pt>
              </c:strCache>
            </c:strRef>
          </c:tx>
          <c:dLbls>
            <c:dLbl>
              <c:idx val="3"/>
              <c:layout>
                <c:manualLayout>
                  <c:x val="-0.0679932195975503"/>
                  <c:y val="-0.046732747125143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分析图表!$A$134:$A$138</c:f>
              <c:strCache>
                <c:ptCount val="5"/>
                <c:pt idx="0">
                  <c:v>2015年</c:v>
                </c:pt>
                <c:pt idx="1">
                  <c:v>2016年</c:v>
                </c:pt>
                <c:pt idx="2">
                  <c:v>2017年</c:v>
                </c:pt>
                <c:pt idx="3">
                  <c:v>2018年</c:v>
                </c:pt>
                <c:pt idx="4">
                  <c:v>2019年</c:v>
                </c:pt>
              </c:strCache>
            </c:strRef>
          </c:cat>
          <c:val>
            <c:numRef>
              <c:f>分析图表!$C$134:$C$138</c:f>
              <c:numCache>
                <c:formatCode>0.00%</c:formatCode>
                <c:ptCount val="5"/>
                <c:pt idx="0">
                  <c:v>0.0713190361334372</c:v>
                </c:pt>
                <c:pt idx="1">
                  <c:v>0.0700221841824477</c:v>
                </c:pt>
                <c:pt idx="2">
                  <c:v>0.136943755512503</c:v>
                </c:pt>
                <c:pt idx="3">
                  <c:v>0.1674793979432</c:v>
                </c:pt>
                <c:pt idx="4">
                  <c:v>0.119497601809639</c:v>
                </c:pt>
              </c:numCache>
            </c:numRef>
          </c:val>
          <c:smooth val="0"/>
        </c:ser>
        <c:ser>
          <c:idx val="2"/>
          <c:order val="2"/>
          <c:tx>
            <c:strRef>
              <c:f>分析图表!$D$133</c:f>
              <c:strCache>
                <c:ptCount val="1"/>
                <c:pt idx="0">
                  <c:v>就业困难人员</c:v>
                </c:pt>
              </c:strCache>
            </c:strRef>
          </c:tx>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分析图表!$A$134:$A$138</c:f>
              <c:strCache>
                <c:ptCount val="5"/>
                <c:pt idx="0">
                  <c:v>2015年</c:v>
                </c:pt>
                <c:pt idx="1">
                  <c:v>2016年</c:v>
                </c:pt>
                <c:pt idx="2">
                  <c:v>2017年</c:v>
                </c:pt>
                <c:pt idx="3">
                  <c:v>2018年</c:v>
                </c:pt>
                <c:pt idx="4">
                  <c:v>2019年</c:v>
                </c:pt>
              </c:strCache>
            </c:strRef>
          </c:cat>
          <c:val>
            <c:numRef>
              <c:f>分析图表!$D$134:$D$138</c:f>
              <c:numCache>
                <c:formatCode>0.00%</c:formatCode>
                <c:ptCount val="5"/>
                <c:pt idx="0">
                  <c:v>0.270195501236813</c:v>
                </c:pt>
                <c:pt idx="1">
                  <c:v>0.226731556040008</c:v>
                </c:pt>
                <c:pt idx="2">
                  <c:v>0.265489660995229</c:v>
                </c:pt>
                <c:pt idx="3">
                  <c:v>0.250023837090513</c:v>
                </c:pt>
                <c:pt idx="4">
                  <c:v>0.368665042273778</c:v>
                </c:pt>
              </c:numCache>
            </c:numRef>
          </c:val>
          <c:smooth val="0"/>
        </c:ser>
        <c:dLbls>
          <c:showLegendKey val="0"/>
          <c:showVal val="1"/>
          <c:showCatName val="0"/>
          <c:showSerName val="0"/>
          <c:showPercent val="0"/>
          <c:showBubbleSize val="0"/>
        </c:dLbls>
        <c:marker val="1"/>
        <c:smooth val="0"/>
        <c:axId val="262840704"/>
        <c:axId val="262842240"/>
      </c:lineChart>
      <c:catAx>
        <c:axId val="262840704"/>
        <c:scaling>
          <c:orientation val="minMax"/>
        </c:scaling>
        <c:delete val="0"/>
        <c:axPos val="b"/>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262842240"/>
        <c:crosses val="autoZero"/>
        <c:auto val="1"/>
        <c:lblAlgn val="ctr"/>
        <c:lblOffset val="100"/>
        <c:noMultiLvlLbl val="0"/>
      </c:catAx>
      <c:valAx>
        <c:axId val="262842240"/>
        <c:scaling>
          <c:orientation val="minMax"/>
        </c:scaling>
        <c:delete val="0"/>
        <c:axPos val="l"/>
        <c:majorGridlines/>
        <c:numFmt formatCode="0.00%" sourceLinked="1"/>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262840704"/>
        <c:crosses val="autoZero"/>
        <c:crossBetween val="between"/>
      </c:valAx>
    </c:plotArea>
    <c:legend>
      <c:legendPos val="r"/>
      <c:layout>
        <c:manualLayout>
          <c:xMode val="edge"/>
          <c:yMode val="edge"/>
          <c:x val="0.0583333333333335"/>
          <c:y val="0.0275879175695272"/>
          <c:w val="0.905555555555556"/>
          <c:h val="0.0982934982030211"/>
        </c:manualLayout>
      </c:layout>
      <c:overlay val="0"/>
      <c:txPr>
        <a:bodyPr rot="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932852143482"/>
          <c:y val="0.241018473899094"/>
          <c:w val="0.871844925634297"/>
          <c:h val="0.639418949451108"/>
        </c:manualLayout>
      </c:layout>
      <c:lineChart>
        <c:grouping val="percentStacked"/>
        <c:varyColors val="0"/>
        <c:ser>
          <c:idx val="1"/>
          <c:order val="0"/>
          <c:tx>
            <c:strRef>
              <c:f>分析图表!$H$141</c:f>
              <c:strCache>
                <c:ptCount val="1"/>
                <c:pt idx="0">
                  <c:v>登记失业率</c:v>
                </c:pt>
              </c:strCache>
            </c:strRef>
          </c:tx>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分析图表!$F$142:$F$146</c:f>
              <c:strCache>
                <c:ptCount val="5"/>
                <c:pt idx="0">
                  <c:v>2015年</c:v>
                </c:pt>
                <c:pt idx="1">
                  <c:v>2016年</c:v>
                </c:pt>
                <c:pt idx="2">
                  <c:v>2017年</c:v>
                </c:pt>
                <c:pt idx="3">
                  <c:v>2018年</c:v>
                </c:pt>
                <c:pt idx="4">
                  <c:v>2019年</c:v>
                </c:pt>
              </c:strCache>
            </c:strRef>
          </c:cat>
          <c:val>
            <c:numRef>
              <c:f>分析图表!$H$142:$H$146</c:f>
              <c:numCache>
                <c:formatCode>0.00_ </c:formatCode>
                <c:ptCount val="5"/>
                <c:pt idx="0">
                  <c:v>2.95061381780298</c:v>
                </c:pt>
                <c:pt idx="1">
                  <c:v>2.56571457030927</c:v>
                </c:pt>
                <c:pt idx="2">
                  <c:v>2.59926452788963</c:v>
                </c:pt>
                <c:pt idx="3">
                  <c:v>2.81656462028372</c:v>
                </c:pt>
                <c:pt idx="4">
                  <c:v>2.49323296475356</c:v>
                </c:pt>
              </c:numCache>
            </c:numRef>
          </c:val>
          <c:smooth val="0"/>
        </c:ser>
        <c:ser>
          <c:idx val="0"/>
          <c:order val="1"/>
          <c:tx>
            <c:strRef>
              <c:f>分析图表!$G$141</c:f>
              <c:strCache>
                <c:ptCount val="1"/>
                <c:pt idx="0">
                  <c:v>调控目标</c:v>
                </c:pt>
              </c:strCache>
            </c:strRef>
          </c:tx>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分析图表!$F$142:$F$146</c:f>
              <c:strCache>
                <c:ptCount val="5"/>
                <c:pt idx="0">
                  <c:v>2015年</c:v>
                </c:pt>
                <c:pt idx="1">
                  <c:v>2016年</c:v>
                </c:pt>
                <c:pt idx="2">
                  <c:v>2017年</c:v>
                </c:pt>
                <c:pt idx="3">
                  <c:v>2018年</c:v>
                </c:pt>
                <c:pt idx="4">
                  <c:v>2019年</c:v>
                </c:pt>
              </c:strCache>
            </c:strRef>
          </c:cat>
          <c:val>
            <c:numRef>
              <c:f>分析图表!$G$142:$G$146</c:f>
              <c:numCache>
                <c:formatCode>General</c:formatCode>
                <c:ptCount val="5"/>
                <c:pt idx="0">
                  <c:v>4.5</c:v>
                </c:pt>
                <c:pt idx="1">
                  <c:v>4.5</c:v>
                </c:pt>
                <c:pt idx="2">
                  <c:v>4.5</c:v>
                </c:pt>
                <c:pt idx="3">
                  <c:v>4.5</c:v>
                </c:pt>
                <c:pt idx="4">
                  <c:v>4.5</c:v>
                </c:pt>
              </c:numCache>
            </c:numRef>
          </c:val>
          <c:smooth val="0"/>
        </c:ser>
        <c:dLbls>
          <c:showLegendKey val="0"/>
          <c:showVal val="1"/>
          <c:showCatName val="0"/>
          <c:showSerName val="0"/>
          <c:showPercent val="0"/>
          <c:showBubbleSize val="0"/>
        </c:dLbls>
        <c:marker val="1"/>
        <c:smooth val="0"/>
        <c:axId val="262883968"/>
        <c:axId val="262898048"/>
      </c:lineChart>
      <c:catAx>
        <c:axId val="262883968"/>
        <c:scaling>
          <c:orientation val="minMax"/>
        </c:scaling>
        <c:delete val="0"/>
        <c:axPos val="b"/>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262898048"/>
        <c:crosses val="autoZero"/>
        <c:auto val="1"/>
        <c:lblAlgn val="ctr"/>
        <c:lblOffset val="100"/>
        <c:noMultiLvlLbl val="0"/>
      </c:catAx>
      <c:valAx>
        <c:axId val="262898048"/>
        <c:scaling>
          <c:orientation val="minMax"/>
        </c:scaling>
        <c:delete val="0"/>
        <c:axPos val="l"/>
        <c:majorGridlines/>
        <c:numFmt formatCode="0%" sourceLinked="1"/>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262883968"/>
        <c:crosses val="autoZero"/>
        <c:crossBetween val="between"/>
        <c:majorUnit val="0.2"/>
      </c:valAx>
    </c:plotArea>
    <c:legend>
      <c:legendPos val="r"/>
      <c:layout>
        <c:manualLayout>
          <c:xMode val="edge"/>
          <c:yMode val="edge"/>
          <c:x val="0.0666666666666667"/>
          <c:y val="0.0139019560063392"/>
          <c:w val="0.869444444444446"/>
          <c:h val="0.167297712826464"/>
        </c:manualLayout>
      </c:layout>
      <c:overlay val="0"/>
      <c:txPr>
        <a:bodyPr rot="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64744362573"/>
          <c:y val="0.104132632972262"/>
          <c:w val="0.539719662997621"/>
          <c:h val="0.773231331505578"/>
        </c:manualLayout>
      </c:layout>
      <c:pieChart>
        <c:varyColors val="1"/>
        <c:ser>
          <c:idx val="0"/>
          <c:order val="0"/>
          <c:tx>
            <c:strRef>
              <c:f>分析图表!$A$161</c:f>
              <c:strCache>
                <c:ptCount val="1"/>
                <c:pt idx="0">
                  <c:v>2019年3季度</c:v>
                </c:pt>
              </c:strCache>
            </c:strRef>
          </c:tx>
          <c:explosion val="0"/>
          <c:dPt>
            <c:idx val="0"/>
            <c:bubble3D val="0"/>
          </c:dPt>
          <c:dPt>
            <c:idx val="1"/>
            <c:bubble3D val="0"/>
          </c:dPt>
          <c:dPt>
            <c:idx val="2"/>
            <c:bubble3D val="0"/>
          </c:dPt>
          <c:dPt>
            <c:idx val="3"/>
            <c:bubble3D val="0"/>
          </c:dPt>
          <c:dPt>
            <c:idx val="4"/>
            <c:bubble3D val="0"/>
          </c:dPt>
          <c:dLbls>
            <c:dLbl>
              <c:idx val="0"/>
              <c:layout>
                <c:manualLayout>
                  <c:x val="0.0516069553805774"/>
                  <c:y val="0.091986314766917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manualLayout>
                  <c:x val="0.208675850941413"/>
                  <c:y val="-0.0664789297171187"/>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0.0349054516834373"/>
                  <c:y val="-0.0341590113735783"/>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3"/>
              <c:layout>
                <c:manualLayout>
                  <c:x val="0.0841367440352212"/>
                  <c:y val="-0.0172914843977836"/>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4"/>
              <c:layout>
                <c:manualLayout>
                  <c:x val="0.0568583058564357"/>
                  <c:y val="-0.0573880869058035"/>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分析图表!$B$160:$F$160</c:f>
              <c:strCache>
                <c:ptCount val="5"/>
                <c:pt idx="0">
                  <c:v>技能鉴定</c:v>
                </c:pt>
                <c:pt idx="1">
                  <c:v>职业培训</c:v>
                </c:pt>
                <c:pt idx="2">
                  <c:v>社会保险</c:v>
                </c:pt>
                <c:pt idx="3">
                  <c:v>公益性岗位</c:v>
                </c:pt>
                <c:pt idx="4">
                  <c:v>就业见习</c:v>
                </c:pt>
              </c:strCache>
            </c:strRef>
          </c:cat>
          <c:val>
            <c:numRef>
              <c:f>分析图表!$B$161:$F$161</c:f>
              <c:numCache>
                <c:formatCode>General</c:formatCode>
                <c:ptCount val="5"/>
                <c:pt idx="0">
                  <c:v>11597</c:v>
                </c:pt>
                <c:pt idx="1">
                  <c:v>108620</c:v>
                </c:pt>
                <c:pt idx="2">
                  <c:v>166195</c:v>
                </c:pt>
                <c:pt idx="3">
                  <c:v>58867</c:v>
                </c:pt>
                <c:pt idx="4">
                  <c:v>623</c:v>
                </c:pt>
              </c:numCache>
            </c:numRef>
          </c:val>
        </c:ser>
        <c:dLbls>
          <c:showLegendKey val="0"/>
          <c:showVal val="0"/>
          <c:showCatName val="1"/>
          <c:showSerName val="0"/>
          <c:showPercent val="1"/>
          <c:showBubbleSize val="0"/>
          <c:showLeaderLines val="1"/>
        </c:dLbls>
        <c:firstSliceAng val="90"/>
      </c:pieChart>
    </c:plotArea>
    <c:plotVisOnly val="1"/>
    <c:dispBlanksAs val="gap"/>
    <c:showDLblsOverMax val="0"/>
  </c:chart>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696850393701"/>
          <c:y val="0.194759967524343"/>
          <c:w val="0.821346237970254"/>
          <c:h val="0.669266249028845"/>
        </c:manualLayout>
      </c:layout>
      <c:barChart>
        <c:barDir val="col"/>
        <c:grouping val="clustered"/>
        <c:varyColors val="0"/>
        <c:ser>
          <c:idx val="0"/>
          <c:order val="0"/>
          <c:tx>
            <c:strRef>
              <c:f>分析图表!$A$175</c:f>
              <c:strCache>
                <c:ptCount val="1"/>
                <c:pt idx="0">
                  <c:v>2015年</c:v>
                </c:pt>
              </c:strCache>
            </c:strRef>
          </c:tx>
          <c:invertIfNegative val="0"/>
          <c:dLbls>
            <c:delete val="1"/>
          </c:dLbls>
          <c:cat>
            <c:strRef>
              <c:f>分析图表!$B$172:$F$174</c:f>
              <c:strCache>
                <c:ptCount val="5"/>
                <c:pt idx="0">
                  <c:v>职业培训</c:v>
                </c:pt>
                <c:pt idx="1">
                  <c:v>技能鉴定</c:v>
                </c:pt>
                <c:pt idx="2">
                  <c:v>社会保险</c:v>
                </c:pt>
                <c:pt idx="3">
                  <c:v>公益性岗位</c:v>
                </c:pt>
                <c:pt idx="4">
                  <c:v>就业见习</c:v>
                </c:pt>
              </c:strCache>
            </c:strRef>
          </c:cat>
          <c:val>
            <c:numRef>
              <c:f>分析图表!$B$175:$F$175</c:f>
              <c:numCache>
                <c:formatCode>0.00_ </c:formatCode>
                <c:ptCount val="5"/>
                <c:pt idx="0">
                  <c:v>4560.6698</c:v>
                </c:pt>
                <c:pt idx="1">
                  <c:v>533.8955</c:v>
                </c:pt>
                <c:pt idx="2">
                  <c:v>34992.1152</c:v>
                </c:pt>
                <c:pt idx="3">
                  <c:v>31286.2449</c:v>
                </c:pt>
                <c:pt idx="4">
                  <c:v>152.65</c:v>
                </c:pt>
              </c:numCache>
            </c:numRef>
          </c:val>
        </c:ser>
        <c:ser>
          <c:idx val="1"/>
          <c:order val="1"/>
          <c:tx>
            <c:strRef>
              <c:f>分析图表!$A$176</c:f>
              <c:strCache>
                <c:ptCount val="1"/>
                <c:pt idx="0">
                  <c:v>2016年</c:v>
                </c:pt>
              </c:strCache>
            </c:strRef>
          </c:tx>
          <c:invertIfNegative val="0"/>
          <c:dLbls>
            <c:delete val="1"/>
          </c:dLbls>
          <c:cat>
            <c:strRef>
              <c:f>分析图表!$B$172:$F$174</c:f>
              <c:strCache>
                <c:ptCount val="5"/>
                <c:pt idx="0">
                  <c:v>职业培训</c:v>
                </c:pt>
                <c:pt idx="1">
                  <c:v>技能鉴定</c:v>
                </c:pt>
                <c:pt idx="2">
                  <c:v>社会保险</c:v>
                </c:pt>
                <c:pt idx="3">
                  <c:v>公益性岗位</c:v>
                </c:pt>
                <c:pt idx="4">
                  <c:v>就业见习</c:v>
                </c:pt>
              </c:strCache>
            </c:strRef>
          </c:cat>
          <c:val>
            <c:numRef>
              <c:f>分析图表!$B$176:$F$176</c:f>
              <c:numCache>
                <c:formatCode>0.00_ </c:formatCode>
                <c:ptCount val="5"/>
                <c:pt idx="0">
                  <c:v>4884.1978</c:v>
                </c:pt>
                <c:pt idx="1">
                  <c:v>499.0973</c:v>
                </c:pt>
                <c:pt idx="2">
                  <c:v>37654.2009</c:v>
                </c:pt>
                <c:pt idx="3">
                  <c:v>27267.4269</c:v>
                </c:pt>
                <c:pt idx="4">
                  <c:v>62.38</c:v>
                </c:pt>
              </c:numCache>
            </c:numRef>
          </c:val>
        </c:ser>
        <c:ser>
          <c:idx val="2"/>
          <c:order val="2"/>
          <c:tx>
            <c:strRef>
              <c:f>分析图表!$A$177</c:f>
              <c:strCache>
                <c:ptCount val="1"/>
                <c:pt idx="0">
                  <c:v>2017年</c:v>
                </c:pt>
              </c:strCache>
            </c:strRef>
          </c:tx>
          <c:invertIfNegative val="0"/>
          <c:dLbls>
            <c:delete val="1"/>
          </c:dLbls>
          <c:cat>
            <c:strRef>
              <c:f>分析图表!$B$172:$F$174</c:f>
              <c:strCache>
                <c:ptCount val="5"/>
                <c:pt idx="0">
                  <c:v>职业培训</c:v>
                </c:pt>
                <c:pt idx="1">
                  <c:v>技能鉴定</c:v>
                </c:pt>
                <c:pt idx="2">
                  <c:v>社会保险</c:v>
                </c:pt>
                <c:pt idx="3">
                  <c:v>公益性岗位</c:v>
                </c:pt>
                <c:pt idx="4">
                  <c:v>就业见习</c:v>
                </c:pt>
              </c:strCache>
            </c:strRef>
          </c:cat>
          <c:val>
            <c:numRef>
              <c:f>分析图表!$B$177:$F$177</c:f>
              <c:numCache>
                <c:formatCode>0.00_ </c:formatCode>
                <c:ptCount val="5"/>
                <c:pt idx="0">
                  <c:v>4198.8003</c:v>
                </c:pt>
                <c:pt idx="1">
                  <c:v>590.952999999999</c:v>
                </c:pt>
                <c:pt idx="2">
                  <c:v>34019.9451</c:v>
                </c:pt>
                <c:pt idx="3">
                  <c:v>32265.5418</c:v>
                </c:pt>
                <c:pt idx="4">
                  <c:v>802.8394</c:v>
                </c:pt>
              </c:numCache>
            </c:numRef>
          </c:val>
        </c:ser>
        <c:ser>
          <c:idx val="3"/>
          <c:order val="3"/>
          <c:tx>
            <c:strRef>
              <c:f>分析图表!$A$178</c:f>
              <c:strCache>
                <c:ptCount val="1"/>
                <c:pt idx="0">
                  <c:v>2018年</c:v>
                </c:pt>
              </c:strCache>
            </c:strRef>
          </c:tx>
          <c:invertIfNegative val="0"/>
          <c:dLbls>
            <c:delete val="1"/>
          </c:dLbls>
          <c:cat>
            <c:strRef>
              <c:f>分析图表!$B$172:$F$174</c:f>
              <c:strCache>
                <c:ptCount val="5"/>
                <c:pt idx="0">
                  <c:v>职业培训</c:v>
                </c:pt>
                <c:pt idx="1">
                  <c:v>技能鉴定</c:v>
                </c:pt>
                <c:pt idx="2">
                  <c:v>社会保险</c:v>
                </c:pt>
                <c:pt idx="3">
                  <c:v>公益性岗位</c:v>
                </c:pt>
                <c:pt idx="4">
                  <c:v>就业见习</c:v>
                </c:pt>
              </c:strCache>
            </c:strRef>
          </c:cat>
          <c:val>
            <c:numRef>
              <c:f>分析图表!$B$178:$F$178</c:f>
              <c:numCache>
                <c:formatCode>0.00_ </c:formatCode>
                <c:ptCount val="5"/>
                <c:pt idx="0">
                  <c:v>4650.8296</c:v>
                </c:pt>
                <c:pt idx="1">
                  <c:v>319.293</c:v>
                </c:pt>
                <c:pt idx="2">
                  <c:v>36404.8352</c:v>
                </c:pt>
                <c:pt idx="3">
                  <c:v>39192.2992</c:v>
                </c:pt>
                <c:pt idx="4">
                  <c:v>473.9133</c:v>
                </c:pt>
              </c:numCache>
            </c:numRef>
          </c:val>
        </c:ser>
        <c:ser>
          <c:idx val="4"/>
          <c:order val="4"/>
          <c:tx>
            <c:strRef>
              <c:f>分析图表!$A$179</c:f>
              <c:strCache>
                <c:ptCount val="1"/>
                <c:pt idx="0">
                  <c:v>2019年</c:v>
                </c:pt>
              </c:strCache>
            </c:strRef>
          </c:tx>
          <c:invertIfNegative val="0"/>
          <c:dLbls>
            <c:delete val="1"/>
          </c:dLbls>
          <c:cat>
            <c:strRef>
              <c:f>分析图表!$B$172:$F$174</c:f>
              <c:strCache>
                <c:ptCount val="5"/>
                <c:pt idx="0">
                  <c:v>职业培训</c:v>
                </c:pt>
                <c:pt idx="1">
                  <c:v>技能鉴定</c:v>
                </c:pt>
                <c:pt idx="2">
                  <c:v>社会保险</c:v>
                </c:pt>
                <c:pt idx="3">
                  <c:v>公益性岗位</c:v>
                </c:pt>
                <c:pt idx="4">
                  <c:v>就业见习</c:v>
                </c:pt>
              </c:strCache>
            </c:strRef>
          </c:cat>
          <c:val>
            <c:numRef>
              <c:f>分析图表!$B$179:$F$179</c:f>
              <c:numCache>
                <c:formatCode>0.00_ </c:formatCode>
                <c:ptCount val="5"/>
                <c:pt idx="0">
                  <c:v>7375.8386</c:v>
                </c:pt>
                <c:pt idx="1">
                  <c:v>236.241</c:v>
                </c:pt>
                <c:pt idx="2">
                  <c:v>37632.6403</c:v>
                </c:pt>
                <c:pt idx="3">
                  <c:v>26742.5424</c:v>
                </c:pt>
                <c:pt idx="4">
                  <c:v>290.34</c:v>
                </c:pt>
              </c:numCache>
            </c:numRef>
          </c:val>
        </c:ser>
        <c:dLbls>
          <c:showLegendKey val="0"/>
          <c:showVal val="0"/>
          <c:showCatName val="0"/>
          <c:showSerName val="0"/>
          <c:showPercent val="0"/>
          <c:showBubbleSize val="0"/>
        </c:dLbls>
        <c:gapWidth val="150"/>
        <c:axId val="100176256"/>
        <c:axId val="100177792"/>
      </c:barChart>
      <c:catAx>
        <c:axId val="100176256"/>
        <c:scaling>
          <c:orientation val="minMax"/>
        </c:scaling>
        <c:delete val="0"/>
        <c:axPos val="b"/>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100177792"/>
        <c:crosses val="autoZero"/>
        <c:auto val="1"/>
        <c:lblAlgn val="ctr"/>
        <c:lblOffset val="100"/>
        <c:noMultiLvlLbl val="0"/>
      </c:catAx>
      <c:valAx>
        <c:axId val="100177792"/>
        <c:scaling>
          <c:orientation val="minMax"/>
        </c:scaling>
        <c:delete val="0"/>
        <c:axPos val="l"/>
        <c:majorGridlines/>
        <c:numFmt formatCode="0.00_ " sourceLinked="1"/>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100176256"/>
        <c:crosses val="autoZero"/>
        <c:crossBetween val="between"/>
        <c:majorUnit val="8000"/>
      </c:valAx>
    </c:plotArea>
    <c:legend>
      <c:legendPos val="r"/>
      <c:layout>
        <c:manualLayout>
          <c:xMode val="edge"/>
          <c:yMode val="edge"/>
          <c:x val="0.0270430883639546"/>
          <c:y val="0.0225785219933701"/>
          <c:w val="0.942401356080491"/>
          <c:h val="0.108312289355335"/>
        </c:manualLayout>
      </c:layout>
      <c:overlay val="0"/>
      <c:txPr>
        <a:bodyPr rot="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321741032371"/>
          <c:y val="0.157726742490522"/>
          <c:w val="0.855054680664918"/>
          <c:h val="0.662574730242053"/>
        </c:manualLayout>
      </c:layout>
      <c:barChart>
        <c:barDir val="col"/>
        <c:grouping val="clustered"/>
        <c:varyColors val="0"/>
        <c:ser>
          <c:idx val="0"/>
          <c:order val="0"/>
          <c:tx>
            <c:strRef>
              <c:f>分析图表!$A$202</c:f>
              <c:strCache>
                <c:ptCount val="1"/>
                <c:pt idx="0">
                  <c:v>培训人数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分析图表!$B$201:$E$201</c:f>
              <c:strCache>
                <c:ptCount val="4"/>
                <c:pt idx="0">
                  <c:v>贫困家
庭子女</c:v>
                </c:pt>
                <c:pt idx="1">
                  <c:v>农村转移
就业劳动者</c:v>
                </c:pt>
                <c:pt idx="2">
                  <c:v>城镇登记
失业人员</c:v>
                </c:pt>
                <c:pt idx="3">
                  <c:v>毕业年度
高校毕业生</c:v>
                </c:pt>
              </c:strCache>
            </c:strRef>
          </c:cat>
          <c:val>
            <c:numRef>
              <c:f>分析图表!$B$202:$E$202</c:f>
              <c:numCache>
                <c:formatCode>General</c:formatCode>
                <c:ptCount val="4"/>
                <c:pt idx="0">
                  <c:v>26110</c:v>
                </c:pt>
                <c:pt idx="1">
                  <c:v>120546</c:v>
                </c:pt>
                <c:pt idx="2">
                  <c:v>60173</c:v>
                </c:pt>
                <c:pt idx="3">
                  <c:v>3052</c:v>
                </c:pt>
              </c:numCache>
            </c:numRef>
          </c:val>
        </c:ser>
        <c:ser>
          <c:idx val="1"/>
          <c:order val="1"/>
          <c:tx>
            <c:strRef>
              <c:f>分析图表!$A$203</c:f>
              <c:strCache>
                <c:ptCount val="1"/>
                <c:pt idx="0">
                  <c:v>补贴人数</c:v>
                </c:pt>
              </c:strCache>
            </c:strRef>
          </c:tx>
          <c:invertIfNegative val="0"/>
          <c:dLbls>
            <c:dLbl>
              <c:idx val="0"/>
              <c:layout>
                <c:manualLayout>
                  <c:x val="0.0228923863167701"/>
                  <c:y val="0.006414141414141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66278181068321"/>
                  <c:y val="0.006414141414141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3139090534161"/>
                  <c:y val="0.01282828282828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8923863167701"/>
                  <c:y val="0.01924242424242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分析图表!$B$201:$E$201</c:f>
              <c:strCache>
                <c:ptCount val="4"/>
                <c:pt idx="0">
                  <c:v>贫困家
庭子女</c:v>
                </c:pt>
                <c:pt idx="1">
                  <c:v>农村转移
就业劳动者</c:v>
                </c:pt>
                <c:pt idx="2">
                  <c:v>城镇登记
失业人员</c:v>
                </c:pt>
                <c:pt idx="3">
                  <c:v>毕业年度
高校毕业生</c:v>
                </c:pt>
              </c:strCache>
            </c:strRef>
          </c:cat>
          <c:val>
            <c:numRef>
              <c:f>分析图表!$B$203:$E$203</c:f>
              <c:numCache>
                <c:formatCode>General</c:formatCode>
                <c:ptCount val="4"/>
                <c:pt idx="0">
                  <c:v>17744</c:v>
                </c:pt>
                <c:pt idx="1">
                  <c:v>73362</c:v>
                </c:pt>
                <c:pt idx="2">
                  <c:v>30153</c:v>
                </c:pt>
                <c:pt idx="3">
                  <c:v>1005</c:v>
                </c:pt>
              </c:numCache>
            </c:numRef>
          </c:val>
        </c:ser>
        <c:dLbls>
          <c:showLegendKey val="0"/>
          <c:showVal val="1"/>
          <c:showCatName val="0"/>
          <c:showSerName val="0"/>
          <c:showPercent val="0"/>
          <c:showBubbleSize val="0"/>
        </c:dLbls>
        <c:gapWidth val="150"/>
        <c:axId val="99957376"/>
        <c:axId val="99975552"/>
      </c:barChart>
      <c:catAx>
        <c:axId val="99957376"/>
        <c:scaling>
          <c:orientation val="minMax"/>
        </c:scaling>
        <c:delete val="0"/>
        <c:axPos val="b"/>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99975552"/>
        <c:crosses val="autoZero"/>
        <c:auto val="1"/>
        <c:lblAlgn val="ctr"/>
        <c:lblOffset val="100"/>
        <c:noMultiLvlLbl val="0"/>
      </c:catAx>
      <c:valAx>
        <c:axId val="9997555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crossAx val="99957376"/>
        <c:crosses val="autoZero"/>
        <c:crossBetween val="between"/>
      </c:valAx>
    </c:plotArea>
    <c:legend>
      <c:legendPos val="r"/>
      <c:layout>
        <c:manualLayout>
          <c:xMode val="edge"/>
          <c:yMode val="edge"/>
          <c:x val="0.486074801587302"/>
          <c:y val="0.0277872557596967"/>
          <c:w val="0.472357738095238"/>
          <c:h val="0.130290860269494"/>
        </c:manualLayout>
      </c:layout>
      <c:overlay val="0"/>
      <c:txPr>
        <a:bodyPr rot="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F3B6F0-066E-408B-BDFB-ACBE698CEF38}">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10</Pages>
  <Words>359</Words>
  <Characters>2052</Characters>
  <Lines>17</Lines>
  <Paragraphs>4</Paragraphs>
  <TotalTime>17519</TotalTime>
  <ScaleCrop>false</ScaleCrop>
  <LinksUpToDate>false</LinksUpToDate>
  <CharactersWithSpaces>2407</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2018-03-30T07:12:00Z</dcterms:created>
  <dc:creator>Sky123.Org</dc:creator>
  <cp:lastModifiedBy>Administrator</cp:lastModifiedBy>
  <cp:lastPrinted>2018-04-16T01:43:00Z</cp:lastPrinted>
  <dcterms:modified xsi:type="dcterms:W3CDTF">2026-08-18T08:52:37Z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26CE13D47A7D46D0B406A4E58B84FF8B</vt:lpwstr>
  </property>
</Properties>
</file>