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18"/>
          <w:szCs w:val="18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春节期间返乡创业重点工作清单</w:t>
      </w:r>
    </w:p>
    <w:tbl>
      <w:tblPr>
        <w:tblStyle w:val="3"/>
        <w:tblW w:w="8733" w:type="dxa"/>
        <w:tblInd w:w="-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7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eastAsia="zh-CN"/>
              </w:rPr>
              <w:t>工作事项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一、返乡创业宣传造势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省、市、县三级分别推送《致外出务工返乡人员的一封信》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省、市、县三级同步开设“返乡创业正当时”专栏。省级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集中宣传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100个“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荆楚返乡创业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之星”；市级统筹推进，所辖县（市、区）平均每地宣传不少于5个返乡创业典型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各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县（市、区）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开展不少于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10场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返乡创业巡回宣讲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市、县两级在主要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交通枢纽、县域重点集镇、年货集市及“春风行动”招聘会现场等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设立返乡创业服务驿站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各县（市、区）开动“创业大篷车”，确保乡镇全覆盖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二、返乡创业对接联络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市、县两级各至少举办一场恳谈会或推介会；各乡镇（街道）至少组织1场联络活动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各县（市、区）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组织考察对接活动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楷体_GB2312" w:cs="楷体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各县（市、区）</w:t>
            </w:r>
            <w:r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多方式摸排返乡人员信息及需求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三、</w:t>
            </w:r>
            <w:r>
              <w:rPr>
                <w:rFonts w:hint="default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项目</w:t>
            </w: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与</w:t>
            </w:r>
            <w:r>
              <w:rPr>
                <w:rFonts w:hint="default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需求精准匹配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各县（市、区）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筛选优质创业项目并推介发布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市、县两级开放展示返乡创业园区、孵化基地等创业平台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市、县、乡结合实际，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设置创业资源对接专区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四、返乡创业服务保障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市、县两级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设立“返乡创业综合服务窗口”或绿色通道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，推进集成服务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协调金融机构优化信贷审批流程，开展“金融产品下乡”，落实创业担保贷款政策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解决返乡创业相关群体住房、子女入学、社保衔接等实际困难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开展针对性创业培训及“创业导师基层行”全周期服务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vertAlign w:val="baseline"/>
                <w:lang w:eastAsia="zh-CN"/>
              </w:rPr>
              <w:t>五、工作责任落实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6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明确任务分工，形成工作合力，做好总结评估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64074"/>
    <w:rsid w:val="4D26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2026-01-20T02:12:00Z</dcterms:created>
  <dc:creator>Administrator</dc:creator>
  <cp:lastModifiedBy>Administrator</cp:lastModifiedBy>
  <dcterms:modified xsi:type="dcterms:W3CDTF">2026-01-20T02:12:25Z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9CDB036965174763851F9420A5DC2A0D</vt:lpwstr>
  </property>
</Properties>
</file>